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BEB" w:rsidRPr="00D1095D" w:rsidRDefault="00484BEB" w:rsidP="00484BEB">
      <w:pPr>
        <w:keepNext/>
        <w:keepLines/>
        <w:spacing w:before="200" w:after="0"/>
        <w:outlineLvl w:val="1"/>
        <w:rPr>
          <w:rFonts w:ascii="Arial" w:eastAsia="Arial Unicode MS" w:hAnsi="Arial" w:cs="Arial"/>
          <w:b/>
          <w:bCs/>
          <w:color w:val="008080"/>
          <w:u w:color="000000"/>
          <w:lang w:val="en-US"/>
        </w:rPr>
      </w:pPr>
      <w:bookmarkStart w:id="0" w:name="_Toc430001207"/>
      <w:bookmarkStart w:id="1" w:name="_Toc430273787"/>
      <w:r w:rsidRPr="00D1095D">
        <w:rPr>
          <w:rFonts w:ascii="Arial" w:eastAsia="Arial Unicode MS" w:hAnsi="Arial" w:cs="Arial"/>
          <w:b/>
          <w:bCs/>
          <w:color w:val="008080"/>
          <w:u w:color="000000"/>
          <w:lang w:val="en-US"/>
        </w:rPr>
        <w:t>Legal requirement to consult and deciding if you need to consult</w:t>
      </w:r>
    </w:p>
    <w:p w:rsidR="00484BEB" w:rsidRPr="00D1095D" w:rsidRDefault="00484BEB" w:rsidP="00484BEB">
      <w:pPr>
        <w:spacing w:after="60" w:line="240" w:lineRule="auto"/>
        <w:rPr>
          <w:rFonts w:ascii="Arial" w:eastAsia="Times New Roman" w:hAnsi="Arial" w:cs="Arial"/>
          <w:lang w:val="en"/>
        </w:rPr>
      </w:pPr>
    </w:p>
    <w:p w:rsidR="00484BEB" w:rsidRPr="00D1095D" w:rsidRDefault="00484BEB" w:rsidP="00484BEB">
      <w:pPr>
        <w:spacing w:after="60" w:line="240" w:lineRule="auto"/>
        <w:rPr>
          <w:rFonts w:ascii="Arial" w:eastAsia="Times New Roman" w:hAnsi="Arial" w:cs="Arial"/>
          <w:lang w:val="en"/>
        </w:rPr>
      </w:pPr>
      <w:r w:rsidRPr="00D1095D">
        <w:rPr>
          <w:rFonts w:ascii="Arial" w:eastAsia="Times New Roman" w:hAnsi="Arial" w:cs="Arial"/>
          <w:lang w:val="en"/>
        </w:rPr>
        <w:t xml:space="preserve">As part of our democratic responsibilities we are required to consult to enable members of the council to make fully informed decisions about council policies and service proposals.  </w:t>
      </w:r>
    </w:p>
    <w:p w:rsidR="00484BEB" w:rsidRPr="00D1095D" w:rsidRDefault="00484BEB" w:rsidP="00484BEB">
      <w:pPr>
        <w:spacing w:after="120"/>
        <w:rPr>
          <w:rFonts w:ascii="Arial" w:eastAsia="Times New Roman" w:hAnsi="Arial" w:cs="Arial"/>
          <w:lang w:val="en"/>
        </w:rPr>
      </w:pPr>
      <w:r w:rsidRPr="00D1095D">
        <w:rPr>
          <w:rFonts w:ascii="Arial" w:eastAsia="Times New Roman" w:hAnsi="Arial" w:cs="Arial"/>
          <w:lang w:val="en"/>
        </w:rPr>
        <w:t xml:space="preserve">Consultation and Engagement should be a primary consideration when decisions are being made about issues affecting the lives of people who live or work in Barnet. Residents and other stakeholders should be given the opportunity to give their views before a final decision is made. </w:t>
      </w:r>
    </w:p>
    <w:p w:rsidR="00484BEB" w:rsidRPr="00D1095D" w:rsidRDefault="00484BEB" w:rsidP="00484BEB">
      <w:pPr>
        <w:spacing w:after="120"/>
        <w:rPr>
          <w:rFonts w:ascii="Arial" w:eastAsia="Times New Roman" w:hAnsi="Arial" w:cs="Arial"/>
          <w:lang w:val="en"/>
        </w:rPr>
      </w:pPr>
      <w:r w:rsidRPr="00D1095D">
        <w:rPr>
          <w:rFonts w:ascii="Arial" w:eastAsia="Times New Roman" w:hAnsi="Arial" w:cs="Arial"/>
          <w:lang w:val="en"/>
        </w:rPr>
        <w:t xml:space="preserve">Before you think about whom you need to consult, or what methods you should use, it is important to be clear why you are undertaking consultation. This means having clarity of the council’s legal obligations in terms of formal and informal consultation: </w:t>
      </w:r>
    </w:p>
    <w:p w:rsidR="00484BEB" w:rsidRPr="00D1095D" w:rsidRDefault="00484BEB" w:rsidP="00484BEB">
      <w:pPr>
        <w:spacing w:after="120"/>
        <w:rPr>
          <w:rFonts w:ascii="Arial" w:eastAsia="Times New Roman" w:hAnsi="Arial" w:cs="Arial"/>
          <w:b/>
          <w:lang w:val="en"/>
        </w:rPr>
      </w:pPr>
      <w:r w:rsidRPr="00D1095D">
        <w:rPr>
          <w:rFonts w:ascii="Arial" w:eastAsia="Times New Roman" w:hAnsi="Arial" w:cs="Arial"/>
          <w:b/>
          <w:lang w:val="en"/>
        </w:rPr>
        <w:t>Legal requirement</w:t>
      </w:r>
    </w:p>
    <w:p w:rsidR="00484BEB" w:rsidRPr="002F3FD6" w:rsidRDefault="00484BEB" w:rsidP="00484BEB">
      <w:pPr>
        <w:spacing w:after="120"/>
        <w:rPr>
          <w:rFonts w:ascii="Arial" w:eastAsia="Times New Roman" w:hAnsi="Arial" w:cs="Arial"/>
          <w:b/>
          <w:i/>
          <w:lang w:val="en"/>
        </w:rPr>
      </w:pPr>
      <w:r w:rsidRPr="00D1095D">
        <w:rPr>
          <w:rFonts w:ascii="Arial" w:eastAsia="Times New Roman" w:hAnsi="Arial" w:cs="Arial"/>
          <w:lang w:val="en"/>
        </w:rPr>
        <w:t xml:space="preserve">There are a variety of legal requirements why you may be required to formally consult, </w:t>
      </w:r>
      <w:r w:rsidRPr="002F3FD6">
        <w:rPr>
          <w:rFonts w:ascii="Arial" w:eastAsia="Times New Roman" w:hAnsi="Arial" w:cs="Arial"/>
          <w:b/>
          <w:i/>
          <w:lang w:val="en"/>
        </w:rPr>
        <w:t>firstly a statutory duty</w:t>
      </w:r>
      <w:r w:rsidR="00467D23">
        <w:rPr>
          <w:rFonts w:ascii="Arial" w:eastAsia="Times New Roman" w:hAnsi="Arial" w:cs="Arial"/>
          <w:b/>
          <w:i/>
          <w:lang w:val="en"/>
        </w:rPr>
        <w:t>,</w:t>
      </w:r>
      <w:r w:rsidR="00467D23" w:rsidRPr="00D1095D">
        <w:rPr>
          <w:rFonts w:ascii="Arial" w:eastAsia="Times New Roman" w:hAnsi="Arial" w:cs="Arial"/>
          <w:lang w:val="en"/>
        </w:rPr>
        <w:t xml:space="preserve"> secondly</w:t>
      </w:r>
      <w:r w:rsidRPr="002F3FD6">
        <w:rPr>
          <w:rFonts w:ascii="Arial" w:eastAsia="Times New Roman" w:hAnsi="Arial" w:cs="Arial"/>
          <w:b/>
          <w:i/>
          <w:lang w:val="en"/>
        </w:rPr>
        <w:t xml:space="preserve"> a common law duty of fairness</w:t>
      </w:r>
      <w:r w:rsidR="002F3FD6">
        <w:rPr>
          <w:rFonts w:ascii="Arial" w:eastAsia="Times New Roman" w:hAnsi="Arial" w:cs="Arial"/>
          <w:b/>
          <w:i/>
          <w:lang w:val="en"/>
        </w:rPr>
        <w:t>,</w:t>
      </w:r>
      <w:r w:rsidRPr="00D1095D">
        <w:rPr>
          <w:rFonts w:ascii="Arial" w:eastAsia="Times New Roman" w:hAnsi="Arial" w:cs="Arial"/>
          <w:lang w:val="en"/>
        </w:rPr>
        <w:t xml:space="preserve"> and </w:t>
      </w:r>
      <w:r w:rsidRPr="002F3FD6">
        <w:rPr>
          <w:rFonts w:ascii="Arial" w:eastAsia="Times New Roman" w:hAnsi="Arial" w:cs="Arial"/>
          <w:b/>
          <w:i/>
          <w:lang w:val="en"/>
        </w:rPr>
        <w:t>thirdly a legitimate expectation based on custom and practice or promise of consultation.</w:t>
      </w:r>
    </w:p>
    <w:p w:rsidR="00484BEB" w:rsidRPr="00484BEB" w:rsidRDefault="00484BEB" w:rsidP="00484BEB">
      <w:pPr>
        <w:spacing w:after="120"/>
        <w:rPr>
          <w:rFonts w:ascii="Arial" w:eastAsia="Times New Roman" w:hAnsi="Arial" w:cs="Arial"/>
          <w:b/>
          <w:lang w:val="en"/>
        </w:rPr>
      </w:pPr>
      <w:r w:rsidRPr="00484BEB">
        <w:rPr>
          <w:rFonts w:ascii="Arial" w:eastAsia="Times New Roman" w:hAnsi="Arial" w:cs="Arial"/>
          <w:b/>
          <w:lang w:val="en"/>
        </w:rPr>
        <w:t>Best Value Duty to Consult</w:t>
      </w:r>
    </w:p>
    <w:p w:rsidR="00484BEB" w:rsidRPr="00484BEB" w:rsidRDefault="00484BEB" w:rsidP="00484BEB">
      <w:pPr>
        <w:spacing w:after="120"/>
        <w:rPr>
          <w:rFonts w:ascii="Arial" w:eastAsia="Times New Roman" w:hAnsi="Arial" w:cs="Arial"/>
        </w:rPr>
      </w:pPr>
      <w:r w:rsidRPr="00484BEB">
        <w:rPr>
          <w:rFonts w:ascii="Arial" w:eastAsia="Times New Roman" w:hAnsi="Arial" w:cs="Arial"/>
          <w:lang w:val="en"/>
        </w:rPr>
        <w:t xml:space="preserve">The council is under a statutory general Best Value Duty to consult when reviewing its service provision and polices as laid out in the </w:t>
      </w:r>
      <w:hyperlink r:id="rId8" w:history="1">
        <w:r w:rsidRPr="00484BEB">
          <w:rPr>
            <w:rFonts w:ascii="Arial" w:eastAsia="Times New Roman" w:hAnsi="Arial" w:cs="Arial"/>
            <w:color w:val="0000FF" w:themeColor="hyperlink"/>
            <w:u w:val="single"/>
          </w:rPr>
          <w:t>Local Government Act 1999</w:t>
        </w:r>
      </w:hyperlink>
      <w:r w:rsidRPr="00484BEB">
        <w:rPr>
          <w:rFonts w:ascii="Arial" w:eastAsia="Times New Roman" w:hAnsi="Arial" w:cs="Arial"/>
        </w:rPr>
        <w:t xml:space="preserve"> and the more recent </w:t>
      </w:r>
      <w:hyperlink r:id="rId9" w:history="1">
        <w:r w:rsidRPr="00484BEB">
          <w:rPr>
            <w:rFonts w:ascii="Arial" w:eastAsia="Times New Roman" w:hAnsi="Arial" w:cs="Arial"/>
            <w:color w:val="0000FF" w:themeColor="hyperlink"/>
            <w:u w:val="single"/>
          </w:rPr>
          <w:t>Best Value Statutory Guidance</w:t>
        </w:r>
      </w:hyperlink>
      <w:r w:rsidRPr="00484BEB">
        <w:rPr>
          <w:rFonts w:ascii="Arial" w:eastAsia="Times New Roman" w:hAnsi="Arial" w:cs="Arial"/>
          <w:u w:val="single"/>
        </w:rPr>
        <w:t xml:space="preserve"> 2011.</w:t>
      </w:r>
    </w:p>
    <w:p w:rsidR="00484BEB" w:rsidRPr="00484BEB" w:rsidRDefault="00484BEB" w:rsidP="00484BEB">
      <w:pPr>
        <w:spacing w:after="120"/>
        <w:rPr>
          <w:rFonts w:ascii="Arial" w:eastAsia="Times New Roman" w:hAnsi="Arial" w:cs="Arial"/>
          <w:lang w:val="en"/>
        </w:rPr>
      </w:pPr>
      <w:r w:rsidRPr="00484BEB">
        <w:rPr>
          <w:rFonts w:ascii="Arial" w:eastAsia="Times New Roman" w:hAnsi="Arial" w:cs="Arial"/>
          <w:lang w:val="en"/>
        </w:rPr>
        <w:t xml:space="preserve">It is up to local authorities to decide how to fulfill the duty to consult, subject to a reasonableness test.  The best value duty is a duty to consult with representatives of tax-payers, service users and other interested parties.  </w:t>
      </w:r>
    </w:p>
    <w:p w:rsidR="00484BEB" w:rsidRPr="00484BEB" w:rsidRDefault="00484BEB" w:rsidP="00484BEB">
      <w:pPr>
        <w:spacing w:after="120"/>
        <w:rPr>
          <w:rFonts w:ascii="Arial" w:eastAsia="Times New Roman" w:hAnsi="Arial" w:cs="Arial"/>
          <w:b/>
          <w:lang w:val="en"/>
        </w:rPr>
      </w:pPr>
      <w:r w:rsidRPr="00484BEB">
        <w:rPr>
          <w:rFonts w:ascii="Arial" w:eastAsia="Times New Roman" w:hAnsi="Arial" w:cs="Arial"/>
          <w:b/>
          <w:lang w:val="en"/>
        </w:rPr>
        <w:t>The guidance states:</w:t>
      </w:r>
    </w:p>
    <w:p w:rsidR="00484BEB" w:rsidRPr="00484BEB" w:rsidRDefault="00484BEB" w:rsidP="00484BEB">
      <w:pPr>
        <w:spacing w:after="120"/>
        <w:rPr>
          <w:rFonts w:ascii="Arial" w:eastAsia="Times New Roman" w:hAnsi="Arial" w:cs="Arial"/>
          <w:lang w:val="en"/>
        </w:rPr>
      </w:pPr>
      <w:r w:rsidRPr="00484BEB">
        <w:rPr>
          <w:rFonts w:ascii="Arial" w:eastAsia="Times New Roman" w:hAnsi="Arial" w:cs="Arial"/>
          <w:lang w:val="en"/>
        </w:rPr>
        <w:t xml:space="preserve"> ‘To achieve the right balance – and before deciding how to fulfill their Best Value Duty – authorities are under a Duty to Consult representatives of a wide range of local persons; this is not optional. Authorities must consult representatives of council tax payers, those who use or are likely to use services provided by the authority, and those appearing to the authority to have an interest in any area within which the authority carries out functions. Authorities should include local voluntary and community organisations and small businesses in such consultation. This should apply at all stages of the commissioning cycle, including when considering the decommissioning of services. In the interests of economy and efficiency, it is not necessary for authorities to undertake lifestyle or diversity questionnaires of suppliers or residents’.</w:t>
      </w:r>
    </w:p>
    <w:p w:rsidR="00484BEB" w:rsidRPr="00484BEB" w:rsidRDefault="00484BEB" w:rsidP="00484BEB">
      <w:pPr>
        <w:contextualSpacing/>
        <w:rPr>
          <w:rFonts w:ascii="Arial" w:hAnsi="Arial" w:cs="Arial"/>
          <w:b/>
          <w:szCs w:val="28"/>
        </w:rPr>
      </w:pPr>
      <w:r w:rsidRPr="00484BEB">
        <w:rPr>
          <w:rFonts w:ascii="Arial" w:hAnsi="Arial" w:cs="Arial"/>
          <w:b/>
          <w:szCs w:val="28"/>
        </w:rPr>
        <w:t xml:space="preserve">You have a legal duty to formally consult if: </w:t>
      </w:r>
      <w:r w:rsidRPr="00484BEB">
        <w:rPr>
          <w:rFonts w:ascii="Arial" w:hAnsi="Arial" w:cs="Arial"/>
          <w:szCs w:val="28"/>
        </w:rPr>
        <w:t xml:space="preserve">       </w:t>
      </w:r>
    </w:p>
    <w:p w:rsidR="00484BEB" w:rsidRPr="00484BEB" w:rsidRDefault="00484BEB" w:rsidP="00484BEB">
      <w:pPr>
        <w:numPr>
          <w:ilvl w:val="0"/>
          <w:numId w:val="1"/>
        </w:numPr>
        <w:contextualSpacing/>
        <w:rPr>
          <w:rFonts w:ascii="Arial" w:hAnsi="Arial" w:cs="Arial"/>
          <w:szCs w:val="28"/>
        </w:rPr>
      </w:pPr>
      <w:r w:rsidRPr="00484BEB">
        <w:rPr>
          <w:rFonts w:ascii="Arial" w:hAnsi="Arial" w:cs="Arial"/>
          <w:szCs w:val="28"/>
        </w:rPr>
        <w:t>The law requires it – for example is there statute that sets out strict guidelines on how you should consult</w:t>
      </w:r>
      <w:r w:rsidR="002E7957">
        <w:rPr>
          <w:rFonts w:ascii="Arial" w:hAnsi="Arial" w:cs="Arial"/>
          <w:szCs w:val="28"/>
        </w:rPr>
        <w:t>,</w:t>
      </w:r>
      <w:r w:rsidRPr="00484BEB">
        <w:rPr>
          <w:rFonts w:ascii="Arial" w:hAnsi="Arial" w:cs="Arial"/>
          <w:szCs w:val="28"/>
        </w:rPr>
        <w:t xml:space="preserve"> </w:t>
      </w:r>
      <w:r w:rsidR="00467D23">
        <w:rPr>
          <w:rFonts w:ascii="Arial" w:hAnsi="Arial" w:cs="Arial"/>
          <w:szCs w:val="28"/>
        </w:rPr>
        <w:t>i.e.</w:t>
      </w:r>
      <w:r w:rsidR="006E7DAB">
        <w:rPr>
          <w:rFonts w:ascii="Arial" w:hAnsi="Arial" w:cs="Arial"/>
          <w:szCs w:val="28"/>
        </w:rPr>
        <w:t xml:space="preserve"> the c</w:t>
      </w:r>
      <w:r w:rsidRPr="00484BEB">
        <w:rPr>
          <w:rFonts w:ascii="Arial" w:hAnsi="Arial" w:cs="Arial"/>
          <w:szCs w:val="28"/>
        </w:rPr>
        <w:t>onsu</w:t>
      </w:r>
      <w:r w:rsidR="006E7DAB">
        <w:rPr>
          <w:rFonts w:ascii="Arial" w:hAnsi="Arial" w:cs="Arial"/>
          <w:szCs w:val="28"/>
        </w:rPr>
        <w:t>ltation</w:t>
      </w:r>
      <w:r w:rsidRPr="00484BEB">
        <w:rPr>
          <w:rFonts w:ascii="Arial" w:hAnsi="Arial" w:cs="Arial"/>
          <w:szCs w:val="28"/>
        </w:rPr>
        <w:t xml:space="preserve"> on </w:t>
      </w:r>
      <w:r w:rsidR="006E7DAB">
        <w:rPr>
          <w:rFonts w:ascii="Arial" w:hAnsi="Arial" w:cs="Arial"/>
          <w:szCs w:val="28"/>
        </w:rPr>
        <w:t>options</w:t>
      </w:r>
      <w:r w:rsidRPr="00484BEB">
        <w:rPr>
          <w:rFonts w:ascii="Arial" w:hAnsi="Arial" w:cs="Arial"/>
          <w:szCs w:val="28"/>
        </w:rPr>
        <w:t xml:space="preserve"> on our </w:t>
      </w:r>
      <w:r w:rsidR="006E7DAB">
        <w:rPr>
          <w:rFonts w:ascii="Arial" w:hAnsi="Arial" w:cs="Arial"/>
          <w:szCs w:val="28"/>
        </w:rPr>
        <w:t>C</w:t>
      </w:r>
      <w:r w:rsidRPr="00484BEB">
        <w:rPr>
          <w:rFonts w:ascii="Arial" w:hAnsi="Arial" w:cs="Arial"/>
          <w:szCs w:val="28"/>
        </w:rPr>
        <w:t>ouncil Tax schem</w:t>
      </w:r>
      <w:r w:rsidR="006E7DAB">
        <w:rPr>
          <w:rFonts w:ascii="Arial" w:hAnsi="Arial" w:cs="Arial"/>
          <w:szCs w:val="28"/>
        </w:rPr>
        <w:t>e</w:t>
      </w:r>
      <w:r w:rsidRPr="00484BEB">
        <w:rPr>
          <w:rFonts w:ascii="Arial" w:hAnsi="Arial" w:cs="Arial"/>
          <w:szCs w:val="28"/>
        </w:rPr>
        <w:t>,  the Fi</w:t>
      </w:r>
      <w:r w:rsidR="006E7DAB">
        <w:rPr>
          <w:rFonts w:ascii="Arial" w:hAnsi="Arial" w:cs="Arial"/>
          <w:szCs w:val="28"/>
        </w:rPr>
        <w:t xml:space="preserve">nance </w:t>
      </w:r>
      <w:r w:rsidRPr="00484BEB">
        <w:rPr>
          <w:rFonts w:ascii="Arial" w:hAnsi="Arial" w:cs="Arial"/>
          <w:szCs w:val="28"/>
        </w:rPr>
        <w:t xml:space="preserve"> Act stipulate</w:t>
      </w:r>
      <w:r w:rsidR="006E7DAB">
        <w:rPr>
          <w:rFonts w:ascii="Arial" w:hAnsi="Arial" w:cs="Arial"/>
          <w:szCs w:val="28"/>
        </w:rPr>
        <w:t>s</w:t>
      </w:r>
      <w:r w:rsidRPr="00484BEB">
        <w:rPr>
          <w:rFonts w:ascii="Arial" w:hAnsi="Arial" w:cs="Arial"/>
          <w:szCs w:val="28"/>
        </w:rPr>
        <w:t xml:space="preserve"> strict </w:t>
      </w:r>
      <w:r w:rsidR="006E7DAB">
        <w:rPr>
          <w:rFonts w:ascii="Arial" w:hAnsi="Arial" w:cs="Arial"/>
          <w:szCs w:val="28"/>
        </w:rPr>
        <w:t xml:space="preserve">guidance </w:t>
      </w:r>
      <w:r w:rsidRPr="00484BEB">
        <w:rPr>
          <w:rFonts w:ascii="Arial" w:hAnsi="Arial" w:cs="Arial"/>
          <w:szCs w:val="28"/>
        </w:rPr>
        <w:t>on the</w:t>
      </w:r>
      <w:r w:rsidR="006E7DAB">
        <w:rPr>
          <w:rFonts w:ascii="Arial" w:hAnsi="Arial" w:cs="Arial"/>
          <w:szCs w:val="28"/>
        </w:rPr>
        <w:t xml:space="preserve"> </w:t>
      </w:r>
      <w:r w:rsidRPr="00484BEB">
        <w:rPr>
          <w:rFonts w:ascii="Arial" w:hAnsi="Arial" w:cs="Arial"/>
          <w:szCs w:val="28"/>
        </w:rPr>
        <w:t xml:space="preserve"> consu</w:t>
      </w:r>
      <w:r w:rsidR="006E7DAB">
        <w:rPr>
          <w:rFonts w:ascii="Arial" w:hAnsi="Arial" w:cs="Arial"/>
          <w:szCs w:val="28"/>
        </w:rPr>
        <w:t>l</w:t>
      </w:r>
      <w:r w:rsidRPr="00484BEB">
        <w:rPr>
          <w:rFonts w:ascii="Arial" w:hAnsi="Arial" w:cs="Arial"/>
          <w:szCs w:val="28"/>
        </w:rPr>
        <w:t xml:space="preserve">tation </w:t>
      </w:r>
      <w:r w:rsidR="006E7DAB">
        <w:rPr>
          <w:rFonts w:ascii="Arial" w:hAnsi="Arial" w:cs="Arial"/>
          <w:szCs w:val="28"/>
        </w:rPr>
        <w:t>process for consulting on a new Council tax Scheme,</w:t>
      </w:r>
    </w:p>
    <w:p w:rsidR="00484BEB" w:rsidRPr="00484BEB" w:rsidRDefault="00484BEB" w:rsidP="00484BEB">
      <w:pPr>
        <w:numPr>
          <w:ilvl w:val="0"/>
          <w:numId w:val="1"/>
        </w:numPr>
        <w:contextualSpacing/>
        <w:rPr>
          <w:rFonts w:ascii="Arial" w:hAnsi="Arial" w:cs="Arial"/>
          <w:szCs w:val="28"/>
        </w:rPr>
      </w:pPr>
      <w:r w:rsidRPr="00484BEB">
        <w:rPr>
          <w:rFonts w:ascii="Arial" w:hAnsi="Arial" w:cs="Arial"/>
          <w:szCs w:val="28"/>
        </w:rPr>
        <w:t>There is a sound political reason to do so</w:t>
      </w:r>
      <w:r w:rsidR="006E7DAB">
        <w:rPr>
          <w:rFonts w:ascii="Arial" w:hAnsi="Arial" w:cs="Arial"/>
          <w:szCs w:val="28"/>
        </w:rPr>
        <w:t>,</w:t>
      </w:r>
    </w:p>
    <w:p w:rsidR="00484BEB" w:rsidRPr="00484BEB" w:rsidRDefault="00484BEB" w:rsidP="00484BEB">
      <w:pPr>
        <w:numPr>
          <w:ilvl w:val="0"/>
          <w:numId w:val="1"/>
        </w:numPr>
        <w:contextualSpacing/>
        <w:rPr>
          <w:rFonts w:ascii="Arial" w:hAnsi="Arial" w:cs="Arial"/>
          <w:szCs w:val="28"/>
        </w:rPr>
      </w:pPr>
      <w:r w:rsidRPr="00484BEB">
        <w:rPr>
          <w:rFonts w:ascii="Arial" w:hAnsi="Arial" w:cs="Arial"/>
          <w:szCs w:val="28"/>
        </w:rPr>
        <w:t>An express</w:t>
      </w:r>
      <w:r w:rsidR="006E7DAB">
        <w:rPr>
          <w:rFonts w:ascii="Arial" w:hAnsi="Arial" w:cs="Arial"/>
          <w:szCs w:val="28"/>
        </w:rPr>
        <w:t>ed</w:t>
      </w:r>
      <w:r w:rsidRPr="00484BEB">
        <w:rPr>
          <w:rFonts w:ascii="Arial" w:hAnsi="Arial" w:cs="Arial"/>
          <w:szCs w:val="28"/>
        </w:rPr>
        <w:t xml:space="preserve"> commitment, promise or assurance was made to consult</w:t>
      </w:r>
      <w:r w:rsidR="006E7DAB">
        <w:rPr>
          <w:rFonts w:ascii="Arial" w:hAnsi="Arial" w:cs="Arial"/>
          <w:szCs w:val="28"/>
        </w:rPr>
        <w:t>,</w:t>
      </w:r>
    </w:p>
    <w:p w:rsidR="00484BEB" w:rsidRPr="00484BEB" w:rsidRDefault="00484BEB" w:rsidP="00484BEB">
      <w:pPr>
        <w:numPr>
          <w:ilvl w:val="0"/>
          <w:numId w:val="1"/>
        </w:numPr>
        <w:contextualSpacing/>
        <w:rPr>
          <w:rFonts w:ascii="Arial" w:hAnsi="Arial" w:cs="Arial"/>
          <w:szCs w:val="28"/>
        </w:rPr>
      </w:pPr>
      <w:r w:rsidRPr="00484BEB">
        <w:rPr>
          <w:rFonts w:ascii="Arial" w:hAnsi="Arial" w:cs="Arial"/>
          <w:szCs w:val="28"/>
        </w:rPr>
        <w:t>We’ve consulted before and set a binding precedent that we will again (a legitimate expectation)</w:t>
      </w:r>
      <w:r w:rsidR="006E7DAB">
        <w:rPr>
          <w:rFonts w:ascii="Arial" w:hAnsi="Arial" w:cs="Arial"/>
          <w:szCs w:val="28"/>
        </w:rPr>
        <w:t>,</w:t>
      </w:r>
      <w:r w:rsidRPr="00484BEB">
        <w:rPr>
          <w:rFonts w:ascii="Arial" w:hAnsi="Arial" w:cs="Arial"/>
          <w:szCs w:val="28"/>
        </w:rPr>
        <w:t xml:space="preserve"> </w:t>
      </w:r>
    </w:p>
    <w:p w:rsidR="00484BEB" w:rsidRPr="00484BEB" w:rsidRDefault="00484BEB" w:rsidP="00484BEB">
      <w:pPr>
        <w:numPr>
          <w:ilvl w:val="0"/>
          <w:numId w:val="1"/>
        </w:numPr>
        <w:contextualSpacing/>
        <w:rPr>
          <w:rFonts w:ascii="Arial" w:hAnsi="Arial" w:cs="Arial"/>
          <w:szCs w:val="28"/>
        </w:rPr>
      </w:pPr>
      <w:r w:rsidRPr="00484BEB">
        <w:rPr>
          <w:rFonts w:ascii="Arial" w:hAnsi="Arial" w:cs="Arial"/>
          <w:szCs w:val="28"/>
        </w:rPr>
        <w:t>The policy or service change affects specific people who rely on the service</w:t>
      </w:r>
      <w:r w:rsidR="006E7DAB">
        <w:rPr>
          <w:rFonts w:ascii="Arial" w:hAnsi="Arial" w:cs="Arial"/>
          <w:szCs w:val="28"/>
        </w:rPr>
        <w:t>,</w:t>
      </w:r>
      <w:r w:rsidRPr="00484BEB">
        <w:rPr>
          <w:rFonts w:ascii="Arial" w:hAnsi="Arial" w:cs="Arial"/>
          <w:szCs w:val="28"/>
        </w:rPr>
        <w:t xml:space="preserve"> </w:t>
      </w:r>
    </w:p>
    <w:p w:rsidR="00484BEB" w:rsidRPr="00484BEB" w:rsidRDefault="00484BEB" w:rsidP="00484BEB">
      <w:pPr>
        <w:numPr>
          <w:ilvl w:val="0"/>
          <w:numId w:val="1"/>
        </w:numPr>
        <w:contextualSpacing/>
        <w:rPr>
          <w:rFonts w:ascii="Arial" w:hAnsi="Arial" w:cs="Arial"/>
          <w:szCs w:val="28"/>
        </w:rPr>
      </w:pPr>
      <w:r w:rsidRPr="00484BEB">
        <w:rPr>
          <w:rFonts w:ascii="Arial" w:hAnsi="Arial" w:cs="Arial"/>
          <w:szCs w:val="28"/>
        </w:rPr>
        <w:t xml:space="preserve">To enable the council to understand equality impacts and comply with its </w:t>
      </w:r>
      <w:hyperlink r:id="rId10" w:history="1">
        <w:r w:rsidRPr="00215A97">
          <w:rPr>
            <w:rStyle w:val="Hyperlink"/>
            <w:rFonts w:ascii="Arial" w:hAnsi="Arial" w:cs="Arial"/>
            <w:b/>
            <w:szCs w:val="28"/>
          </w:rPr>
          <w:t>Public Sector Equality Duty</w:t>
        </w:r>
        <w:r w:rsidR="006E7DAB" w:rsidRPr="00215A97">
          <w:rPr>
            <w:rStyle w:val="Hyperlink"/>
            <w:rFonts w:ascii="Arial" w:hAnsi="Arial" w:cs="Arial"/>
            <w:b/>
            <w:szCs w:val="28"/>
          </w:rPr>
          <w:t>.</w:t>
        </w:r>
      </w:hyperlink>
      <w:r w:rsidRPr="00484BEB">
        <w:rPr>
          <w:rFonts w:ascii="Arial" w:hAnsi="Arial" w:cs="Arial"/>
          <w:b/>
          <w:color w:val="548DD4"/>
          <w:szCs w:val="28"/>
          <w:u w:val="single"/>
        </w:rPr>
        <w:t xml:space="preserve"> </w:t>
      </w:r>
    </w:p>
    <w:p w:rsidR="00484BEB" w:rsidRPr="00484BEB" w:rsidRDefault="00484BEB" w:rsidP="00484BEB">
      <w:pPr>
        <w:contextualSpacing/>
        <w:rPr>
          <w:rFonts w:ascii="Arial" w:hAnsi="Arial" w:cs="Arial"/>
          <w:b/>
          <w:szCs w:val="28"/>
        </w:rPr>
      </w:pPr>
    </w:p>
    <w:p w:rsidR="00484BEB" w:rsidRPr="00484BEB" w:rsidRDefault="00484BEB" w:rsidP="00484BEB">
      <w:pPr>
        <w:contextualSpacing/>
        <w:rPr>
          <w:rFonts w:ascii="Arial" w:hAnsi="Arial" w:cs="Arial"/>
          <w:b/>
          <w:szCs w:val="28"/>
        </w:rPr>
      </w:pPr>
      <w:r w:rsidRPr="00484BEB">
        <w:rPr>
          <w:rFonts w:ascii="Arial" w:hAnsi="Arial" w:cs="Arial"/>
          <w:b/>
          <w:szCs w:val="28"/>
        </w:rPr>
        <w:t xml:space="preserve">You don’t need to formally consult if: </w:t>
      </w:r>
    </w:p>
    <w:p w:rsidR="00484BEB" w:rsidRPr="00484BEB" w:rsidRDefault="00484BEB" w:rsidP="00484BEB">
      <w:pPr>
        <w:numPr>
          <w:ilvl w:val="0"/>
          <w:numId w:val="1"/>
        </w:numPr>
        <w:contextualSpacing/>
        <w:rPr>
          <w:rFonts w:ascii="Arial" w:hAnsi="Arial" w:cs="Arial"/>
          <w:b/>
          <w:szCs w:val="28"/>
        </w:rPr>
      </w:pPr>
      <w:r w:rsidRPr="00484BEB">
        <w:rPr>
          <w:rFonts w:ascii="Arial" w:hAnsi="Arial" w:cs="Arial"/>
          <w:szCs w:val="28"/>
        </w:rPr>
        <w:t xml:space="preserve">The issue is minor or trivial where the changes will not </w:t>
      </w:r>
      <w:r w:rsidR="00467D23" w:rsidRPr="00484BEB">
        <w:rPr>
          <w:rFonts w:ascii="Arial" w:hAnsi="Arial" w:cs="Arial"/>
          <w:szCs w:val="28"/>
        </w:rPr>
        <w:t>affect our</w:t>
      </w:r>
      <w:r w:rsidRPr="00484BEB">
        <w:rPr>
          <w:rFonts w:ascii="Arial" w:hAnsi="Arial" w:cs="Arial"/>
          <w:szCs w:val="28"/>
        </w:rPr>
        <w:t xml:space="preserve"> residents or service users.</w:t>
      </w:r>
    </w:p>
    <w:p w:rsidR="00484BEB" w:rsidRPr="00484BEB" w:rsidRDefault="00484BEB" w:rsidP="00484BEB">
      <w:pPr>
        <w:numPr>
          <w:ilvl w:val="0"/>
          <w:numId w:val="1"/>
        </w:numPr>
        <w:contextualSpacing/>
        <w:rPr>
          <w:rFonts w:ascii="Arial" w:hAnsi="Arial" w:cs="Arial"/>
          <w:b/>
          <w:szCs w:val="28"/>
        </w:rPr>
      </w:pPr>
      <w:r w:rsidRPr="00484BEB">
        <w:rPr>
          <w:rFonts w:ascii="Arial" w:hAnsi="Arial" w:cs="Arial"/>
          <w:szCs w:val="28"/>
        </w:rPr>
        <w:t>Adequate consultation has taken place at an earlier stage.</w:t>
      </w:r>
    </w:p>
    <w:p w:rsidR="00484BEB" w:rsidRPr="00484BEB" w:rsidRDefault="00484BEB" w:rsidP="00484BEB">
      <w:pPr>
        <w:contextualSpacing/>
        <w:rPr>
          <w:rFonts w:ascii="Arial" w:hAnsi="Arial" w:cs="Arial"/>
          <w:b/>
          <w:szCs w:val="28"/>
        </w:rPr>
      </w:pPr>
    </w:p>
    <w:p w:rsidR="00484BEB" w:rsidRPr="00484BEB" w:rsidRDefault="00484BEB" w:rsidP="00484BEB">
      <w:pPr>
        <w:contextualSpacing/>
        <w:rPr>
          <w:rFonts w:ascii="Arial" w:hAnsi="Arial" w:cs="Arial"/>
          <w:b/>
          <w:szCs w:val="28"/>
        </w:rPr>
      </w:pPr>
      <w:r w:rsidRPr="00484BEB">
        <w:rPr>
          <w:rFonts w:ascii="Calibri" w:eastAsia="Calibri" w:hAnsi="Calibri" w:cs="Arial"/>
          <w:b/>
          <w:noProof/>
          <w:color w:val="76923C"/>
          <w:szCs w:val="28"/>
          <w:lang w:eastAsia="en-GB"/>
        </w:rPr>
        <mc:AlternateContent>
          <mc:Choice Requires="wps">
            <w:drawing>
              <wp:inline distT="0" distB="0" distL="0" distR="0" wp14:anchorId="056AA6C4" wp14:editId="678C69E5">
                <wp:extent cx="5731510" cy="1828800"/>
                <wp:effectExtent l="0" t="0" r="2159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828800"/>
                        </a:xfrm>
                        <a:prstGeom prst="roundRect">
                          <a:avLst>
                            <a:gd name="adj" fmla="val 16667"/>
                          </a:avLst>
                        </a:prstGeom>
                        <a:solidFill>
                          <a:srgbClr val="33CCCC"/>
                        </a:solidFill>
                        <a:ln w="9525">
                          <a:solidFill>
                            <a:srgbClr val="E46C0A"/>
                          </a:solidFill>
                          <a:round/>
                          <a:headEnd/>
                          <a:tailEnd/>
                        </a:ln>
                      </wps:spPr>
                      <wps:txbx>
                        <w:txbxContent>
                          <w:p w:rsidR="00510E48" w:rsidRPr="003F6C14" w:rsidRDefault="00510E48" w:rsidP="00484BEB">
                            <w:pPr>
                              <w:pStyle w:val="Default"/>
                              <w:jc w:val="center"/>
                              <w:rPr>
                                <w:rFonts w:asciiTheme="minorHAnsi" w:hAnsiTheme="minorHAnsi" w:cs="Arial"/>
                                <w:b/>
                                <w:color w:val="FFFFFF" w:themeColor="background1"/>
                                <w:sz w:val="22"/>
                                <w:szCs w:val="22"/>
                              </w:rPr>
                            </w:pPr>
                            <w:r w:rsidRPr="003F6C14">
                              <w:rPr>
                                <w:rFonts w:asciiTheme="minorHAnsi" w:hAnsiTheme="minorHAnsi" w:cs="Arial"/>
                                <w:b/>
                                <w:color w:val="FFFFFF" w:themeColor="background1"/>
                                <w:sz w:val="22"/>
                                <w:szCs w:val="22"/>
                              </w:rPr>
                              <w:t>BARNET COUNCIL – CASE STUDY</w:t>
                            </w:r>
                          </w:p>
                          <w:p w:rsidR="00510E48" w:rsidRPr="003F6C14" w:rsidRDefault="00510E48" w:rsidP="00484BEB">
                            <w:pPr>
                              <w:pStyle w:val="Default"/>
                              <w:jc w:val="center"/>
                              <w:rPr>
                                <w:rFonts w:asciiTheme="minorHAnsi" w:hAnsiTheme="minorHAnsi" w:cs="Arial"/>
                                <w:color w:val="FFFFFF" w:themeColor="background1"/>
                                <w:sz w:val="22"/>
                                <w:szCs w:val="22"/>
                              </w:rPr>
                            </w:pPr>
                          </w:p>
                          <w:p w:rsidR="00510E48" w:rsidRPr="003B1FD9" w:rsidRDefault="00510E48" w:rsidP="00484BEB">
                            <w:pPr>
                              <w:pStyle w:val="Default"/>
                              <w:rPr>
                                <w:rFonts w:asciiTheme="minorHAnsi" w:hAnsiTheme="minorHAnsi" w:cs="Arial"/>
                                <w:color w:val="FFFFFF" w:themeColor="background1"/>
                                <w:sz w:val="22"/>
                                <w:szCs w:val="22"/>
                              </w:rPr>
                            </w:pPr>
                            <w:r w:rsidRPr="003B1FD9">
                              <w:rPr>
                                <w:rFonts w:asciiTheme="minorHAnsi" w:hAnsiTheme="minorHAnsi" w:cs="Arial"/>
                                <w:color w:val="FFFFFF" w:themeColor="background1"/>
                                <w:sz w:val="22"/>
                                <w:szCs w:val="22"/>
                              </w:rPr>
                              <w:t xml:space="preserve">In 2013, a resident of the London Borough of Barnet challenged a major outsourcing decision by her local council. She argued, in part, that she had a legitimate expectation that her council should have observed Guidance applicable to the best value provisions of the 1999 Local Government Act, and consulted more extensively. </w:t>
                            </w:r>
                          </w:p>
                          <w:p w:rsidR="00510E48" w:rsidRPr="003B1FD9" w:rsidRDefault="00510E48" w:rsidP="00484BEB">
                            <w:pPr>
                              <w:pStyle w:val="Default"/>
                              <w:rPr>
                                <w:rFonts w:asciiTheme="minorHAnsi" w:hAnsiTheme="minorHAnsi" w:cs="Arial"/>
                                <w:color w:val="FFFFFF" w:themeColor="background1"/>
                                <w:sz w:val="22"/>
                                <w:szCs w:val="22"/>
                              </w:rPr>
                            </w:pPr>
                          </w:p>
                          <w:p w:rsidR="00510E48" w:rsidRPr="003B1FD9" w:rsidRDefault="00510E48" w:rsidP="00484BEB">
                            <w:pPr>
                              <w:pStyle w:val="Default"/>
                              <w:rPr>
                                <w:rFonts w:asciiTheme="minorHAnsi" w:hAnsiTheme="minorHAnsi" w:cs="Arial"/>
                                <w:color w:val="FFFFFF" w:themeColor="background1"/>
                                <w:sz w:val="22"/>
                                <w:szCs w:val="22"/>
                              </w:rPr>
                            </w:pPr>
                            <w:r w:rsidRPr="003B1FD9">
                              <w:rPr>
                                <w:rFonts w:asciiTheme="minorHAnsi" w:hAnsiTheme="minorHAnsi" w:cs="Arial"/>
                                <w:color w:val="FFFFFF" w:themeColor="background1"/>
                                <w:sz w:val="22"/>
                                <w:szCs w:val="22"/>
                              </w:rPr>
                              <w:t xml:space="preserve">Although </w:t>
                            </w:r>
                            <w:r>
                              <w:rPr>
                                <w:rFonts w:asciiTheme="minorHAnsi" w:hAnsiTheme="minorHAnsi" w:cs="Arial"/>
                                <w:color w:val="FFFFFF" w:themeColor="background1"/>
                                <w:sz w:val="22"/>
                                <w:szCs w:val="22"/>
                              </w:rPr>
                              <w:t>the resident</w:t>
                            </w:r>
                            <w:r w:rsidRPr="003B1FD9">
                              <w:rPr>
                                <w:rFonts w:asciiTheme="minorHAnsi" w:hAnsiTheme="minorHAnsi" w:cs="Arial"/>
                                <w:color w:val="FFFFFF" w:themeColor="background1"/>
                                <w:sz w:val="22"/>
                                <w:szCs w:val="22"/>
                              </w:rPr>
                              <w:t xml:space="preserve"> lost her case because she was deemed to have issued the challenge out of time, the Judge clearly indicated that her expectation was reasonable. </w:t>
                            </w:r>
                          </w:p>
                          <w:p w:rsidR="00510E48" w:rsidRPr="003F6C14" w:rsidRDefault="00510E48" w:rsidP="00484BEB">
                            <w:pPr>
                              <w:pStyle w:val="Default"/>
                              <w:rPr>
                                <w:rFonts w:asciiTheme="minorHAnsi" w:hAnsiTheme="minorHAnsi" w:cs="Arial"/>
                                <w:color w:val="FFFFFF" w:themeColor="background1"/>
                                <w:sz w:val="22"/>
                                <w:szCs w:val="22"/>
                              </w:rPr>
                            </w:pPr>
                          </w:p>
                          <w:p w:rsidR="00510E48" w:rsidRPr="003F6C14" w:rsidRDefault="00510E48" w:rsidP="00484BEB">
                            <w:pPr>
                              <w:pStyle w:val="Default"/>
                              <w:rPr>
                                <w:rFonts w:asciiTheme="minorHAnsi" w:hAnsiTheme="minorHAnsi" w:cs="Arial"/>
                                <w:i/>
                                <w:color w:val="FFFFFF" w:themeColor="background1"/>
                                <w:sz w:val="22"/>
                                <w:szCs w:val="22"/>
                              </w:rPr>
                            </w:pPr>
                          </w:p>
                          <w:p w:rsidR="00510E48" w:rsidRPr="003F6C14" w:rsidRDefault="00510E48" w:rsidP="00484BEB">
                            <w:pPr>
                              <w:rPr>
                                <w:b/>
                                <w:color w:val="FFFFFF" w:themeColor="background1"/>
                              </w:rPr>
                            </w:pPr>
                          </w:p>
                        </w:txbxContent>
                      </wps:txbx>
                      <wps:bodyPr rot="0" vert="horz" wrap="square" lIns="91440" tIns="45720" rIns="91440" bIns="45720" anchor="t" anchorCtr="0" upright="1">
                        <a:noAutofit/>
                      </wps:bodyPr>
                    </wps:wsp>
                  </a:graphicData>
                </a:graphic>
              </wp:inline>
            </w:drawing>
          </mc:Choice>
          <mc:Fallback>
            <w:pict>
              <v:roundrect id="Text Box 2" o:spid="_x0000_s1026" style="width:451.3pt;height:2in;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" fillcolor="#3cc" strokecolor="#e46c0a">
                <v:textbox>
                  <w:txbxContent>
                    <w:p w:rsidR="00484BEB" w:rsidRPr="003F6C14" w:rsidRDefault="00484BEB" w:rsidP="00484BEB">
                      <w:pPr>
                        <w:pStyle w:val="Default"/>
                        <w:jc w:val="center"/>
                        <w:rPr>
                          <w:rFonts w:asciiTheme="minorHAnsi" w:hAnsiTheme="minorHAnsi" w:cs="Arial"/>
                          <w:b/>
                          <w:color w:val="FFFFFF" w:themeColor="background1"/>
                          <w:sz w:val="22"/>
                          <w:szCs w:val="22"/>
                        </w:rPr>
                      </w:pPr>
                      <w:r w:rsidRPr="003F6C14">
                        <w:rPr>
                          <w:rFonts w:asciiTheme="minorHAnsi" w:hAnsiTheme="minorHAnsi" w:cs="Arial"/>
                          <w:b/>
                          <w:color w:val="FFFFFF" w:themeColor="background1"/>
                          <w:sz w:val="22"/>
                          <w:szCs w:val="22"/>
                        </w:rPr>
                        <w:t>BARNET COUNCIL – CASE STUDY</w:t>
                      </w:r>
                    </w:p>
                    <w:p w:rsidR="00484BEB" w:rsidRPr="003F6C14" w:rsidRDefault="00484BEB" w:rsidP="00484BEB">
                      <w:pPr>
                        <w:pStyle w:val="Default"/>
                        <w:jc w:val="center"/>
                        <w:rPr>
                          <w:rFonts w:asciiTheme="minorHAnsi" w:hAnsiTheme="minorHAnsi" w:cs="Arial"/>
                          <w:color w:val="FFFFFF" w:themeColor="background1"/>
                          <w:sz w:val="22"/>
                          <w:szCs w:val="22"/>
                        </w:rPr>
                      </w:pPr>
                    </w:p>
                    <w:p w:rsidR="00484BEB" w:rsidRPr="003B1FD9" w:rsidRDefault="00484BEB" w:rsidP="00484BEB">
                      <w:pPr>
                        <w:pStyle w:val="Default"/>
                        <w:rPr>
                          <w:rFonts w:asciiTheme="minorHAnsi" w:hAnsiTheme="minorHAnsi" w:cs="Arial"/>
                          <w:color w:val="FFFFFF" w:themeColor="background1"/>
                          <w:sz w:val="22"/>
                          <w:szCs w:val="22"/>
                        </w:rPr>
                      </w:pPr>
                      <w:r w:rsidRPr="003B1FD9">
                        <w:rPr>
                          <w:rFonts w:asciiTheme="minorHAnsi" w:hAnsiTheme="minorHAnsi" w:cs="Arial"/>
                          <w:color w:val="FFFFFF" w:themeColor="background1"/>
                          <w:sz w:val="22"/>
                          <w:szCs w:val="22"/>
                        </w:rPr>
                        <w:t xml:space="preserve">In 2013, a resident of the London Borough of Barnet challenged a major outsourcing decision by her local council. She argued, in part, that she had a legitimate expectation that her council should have observed Guidance applicable to the best value provisions of the 1999 Local Government Act, and consulted more extensively. </w:t>
                      </w:r>
                    </w:p>
                    <w:p w:rsidR="00484BEB" w:rsidRPr="003B1FD9" w:rsidRDefault="00484BEB" w:rsidP="00484BEB">
                      <w:pPr>
                        <w:pStyle w:val="Default"/>
                        <w:rPr>
                          <w:rFonts w:asciiTheme="minorHAnsi" w:hAnsiTheme="minorHAnsi" w:cs="Arial"/>
                          <w:color w:val="FFFFFF" w:themeColor="background1"/>
                          <w:sz w:val="22"/>
                          <w:szCs w:val="22"/>
                        </w:rPr>
                      </w:pPr>
                    </w:p>
                    <w:p w:rsidR="00484BEB" w:rsidRPr="003B1FD9" w:rsidRDefault="00484BEB" w:rsidP="00484BEB">
                      <w:pPr>
                        <w:pStyle w:val="Default"/>
                        <w:rPr>
                          <w:rFonts w:asciiTheme="minorHAnsi" w:hAnsiTheme="minorHAnsi" w:cs="Arial"/>
                          <w:color w:val="FFFFFF" w:themeColor="background1"/>
                          <w:sz w:val="22"/>
                          <w:szCs w:val="22"/>
                        </w:rPr>
                      </w:pPr>
                      <w:r w:rsidRPr="003B1FD9">
                        <w:rPr>
                          <w:rFonts w:asciiTheme="minorHAnsi" w:hAnsiTheme="minorHAnsi" w:cs="Arial"/>
                          <w:color w:val="FFFFFF" w:themeColor="background1"/>
                          <w:sz w:val="22"/>
                          <w:szCs w:val="22"/>
                        </w:rPr>
                        <w:t xml:space="preserve">Although </w:t>
                      </w:r>
                      <w:r w:rsidR="002C4815">
                        <w:rPr>
                          <w:rFonts w:asciiTheme="minorHAnsi" w:hAnsiTheme="minorHAnsi" w:cs="Arial"/>
                          <w:color w:val="FFFFFF" w:themeColor="background1"/>
                          <w:sz w:val="22"/>
                          <w:szCs w:val="22"/>
                        </w:rPr>
                        <w:t>the resident</w:t>
                      </w:r>
                      <w:bookmarkStart w:id="3" w:name="_GoBack"/>
                      <w:bookmarkEnd w:id="3"/>
                      <w:r w:rsidRPr="003B1FD9">
                        <w:rPr>
                          <w:rFonts w:asciiTheme="minorHAnsi" w:hAnsiTheme="minorHAnsi" w:cs="Arial"/>
                          <w:color w:val="FFFFFF" w:themeColor="background1"/>
                          <w:sz w:val="22"/>
                          <w:szCs w:val="22"/>
                        </w:rPr>
                        <w:t xml:space="preserve"> lost her case because she was deemed to have issued the challenge out of time, the Judge clearly indicated that her expectation was reasonable. </w:t>
                      </w:r>
                    </w:p>
                    <w:p w:rsidR="00484BEB" w:rsidRPr="003F6C14" w:rsidRDefault="00484BEB" w:rsidP="00484BEB">
                      <w:pPr>
                        <w:pStyle w:val="Default"/>
                        <w:rPr>
                          <w:rFonts w:asciiTheme="minorHAnsi" w:hAnsiTheme="minorHAnsi" w:cs="Arial"/>
                          <w:color w:val="FFFFFF" w:themeColor="background1"/>
                          <w:sz w:val="22"/>
                          <w:szCs w:val="22"/>
                        </w:rPr>
                      </w:pPr>
                    </w:p>
                    <w:p w:rsidR="00484BEB" w:rsidRPr="003F6C14" w:rsidRDefault="00484BEB" w:rsidP="00484BEB">
                      <w:pPr>
                        <w:pStyle w:val="Default"/>
                        <w:rPr>
                          <w:rFonts w:asciiTheme="minorHAnsi" w:hAnsiTheme="minorHAnsi" w:cs="Arial"/>
                          <w:i/>
                          <w:color w:val="FFFFFF" w:themeColor="background1"/>
                          <w:sz w:val="22"/>
                          <w:szCs w:val="22"/>
                        </w:rPr>
                      </w:pPr>
                    </w:p>
                    <w:p w:rsidR="00484BEB" w:rsidRPr="003F6C14" w:rsidRDefault="00484BEB" w:rsidP="00484BEB">
                      <w:pPr>
                        <w:rPr>
                          <w:b/>
                          <w:color w:val="FFFFFF" w:themeColor="background1"/>
                        </w:rPr>
                      </w:pPr>
                    </w:p>
                  </w:txbxContent>
                </v:textbox>
                <w10:anchorlock/>
              </v:roundrect>
            </w:pict>
          </mc:Fallback>
        </mc:AlternateContent>
      </w:r>
    </w:p>
    <w:p w:rsidR="00484BEB" w:rsidRPr="00484BEB" w:rsidRDefault="00484BEB" w:rsidP="00484BEB">
      <w:pPr>
        <w:contextualSpacing/>
        <w:rPr>
          <w:rFonts w:ascii="Arial" w:hAnsi="Arial" w:cs="Arial"/>
          <w:b/>
          <w:szCs w:val="28"/>
        </w:rPr>
      </w:pPr>
    </w:p>
    <w:p w:rsidR="00484BEB" w:rsidRPr="00484BEB" w:rsidRDefault="00484BEB" w:rsidP="00484BEB">
      <w:pPr>
        <w:pBdr>
          <w:top w:val="single" w:sz="4" w:space="1" w:color="auto"/>
          <w:left w:val="single" w:sz="4" w:space="4" w:color="auto"/>
          <w:bottom w:val="single" w:sz="4" w:space="1" w:color="auto"/>
          <w:right w:val="single" w:sz="4" w:space="4" w:color="auto"/>
        </w:pBdr>
        <w:jc w:val="right"/>
        <w:rPr>
          <w:rFonts w:ascii="Calibri" w:hAnsi="Calibri" w:cstheme="majorBidi"/>
          <w:b/>
          <w:szCs w:val="28"/>
        </w:rPr>
      </w:pPr>
      <w:r w:rsidRPr="00484BEB">
        <w:rPr>
          <w:rFonts w:ascii="Calibri" w:hAnsi="Calibri" w:cstheme="majorBidi"/>
          <w:noProof/>
          <w:szCs w:val="28"/>
          <w:lang w:eastAsia="en-GB"/>
        </w:rPr>
        <w:drawing>
          <wp:anchor distT="0" distB="0" distL="114300" distR="114300" simplePos="0" relativeHeight="251665408" behindDoc="0" locked="0" layoutInCell="1" allowOverlap="1" wp14:anchorId="10C754FB" wp14:editId="4A13CC0B">
            <wp:simplePos x="0" y="0"/>
            <wp:positionH relativeFrom="column">
              <wp:posOffset>5029200</wp:posOffset>
            </wp:positionH>
            <wp:positionV relativeFrom="paragraph">
              <wp:posOffset>14605</wp:posOffset>
            </wp:positionV>
            <wp:extent cx="695325" cy="500380"/>
            <wp:effectExtent l="0" t="0" r="9525" b="0"/>
            <wp:wrapNone/>
            <wp:docPr id="3" name="Picture 3" descr="S:\Shared Documents\Consultation\Engage space\Pictures\Budget\008575_Budget-Consult-A4-Poster_Consult_Fe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Shared Documents\Consultation\Engage space\Pictures\Budget\008575_Budget-Consult-A4-Poster_Consult_Featur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5325" cy="500380"/>
                    </a:xfrm>
                    <a:prstGeom prst="rect">
                      <a:avLst/>
                    </a:prstGeom>
                    <a:noFill/>
                  </pic:spPr>
                </pic:pic>
              </a:graphicData>
            </a:graphic>
            <wp14:sizeRelH relativeFrom="page">
              <wp14:pctWidth>0</wp14:pctWidth>
            </wp14:sizeRelH>
            <wp14:sizeRelV relativeFrom="page">
              <wp14:pctHeight>0</wp14:pctHeight>
            </wp14:sizeRelV>
          </wp:anchor>
        </w:drawing>
      </w:r>
    </w:p>
    <w:p w:rsidR="00484BEB" w:rsidRPr="00484BEB" w:rsidRDefault="00484BEB" w:rsidP="00484BEB">
      <w:pPr>
        <w:pBdr>
          <w:top w:val="single" w:sz="4" w:space="1" w:color="auto"/>
          <w:left w:val="single" w:sz="4" w:space="4" w:color="auto"/>
          <w:bottom w:val="single" w:sz="4" w:space="1" w:color="auto"/>
          <w:right w:val="single" w:sz="4" w:space="4" w:color="auto"/>
        </w:pBdr>
        <w:rPr>
          <w:rFonts w:ascii="Calibri" w:hAnsi="Calibri" w:cstheme="majorBidi"/>
          <w:szCs w:val="28"/>
        </w:rPr>
      </w:pPr>
      <w:r w:rsidRPr="00484BEB">
        <w:rPr>
          <w:rFonts w:ascii="Calibri" w:hAnsi="Calibri" w:cstheme="majorBidi"/>
          <w:b/>
          <w:szCs w:val="28"/>
        </w:rPr>
        <w:t>Finance and Business Planning – Medium Term Financial Strategy 201</w:t>
      </w:r>
      <w:r w:rsidR="00510E48">
        <w:rPr>
          <w:rFonts w:ascii="Calibri" w:hAnsi="Calibri" w:cstheme="majorBidi"/>
          <w:b/>
          <w:szCs w:val="28"/>
        </w:rPr>
        <w:t>7</w:t>
      </w:r>
      <w:r w:rsidRPr="00484BEB">
        <w:rPr>
          <w:rFonts w:ascii="Calibri" w:hAnsi="Calibri" w:cstheme="majorBidi"/>
          <w:b/>
          <w:szCs w:val="28"/>
        </w:rPr>
        <w:t>/1</w:t>
      </w:r>
      <w:r w:rsidR="00510E48">
        <w:rPr>
          <w:rFonts w:ascii="Calibri" w:hAnsi="Calibri" w:cstheme="majorBidi"/>
          <w:b/>
          <w:szCs w:val="28"/>
        </w:rPr>
        <w:t>8</w:t>
      </w:r>
      <w:r w:rsidRPr="00484BEB">
        <w:rPr>
          <w:rFonts w:ascii="Calibri" w:hAnsi="Calibri" w:cstheme="majorBidi"/>
          <w:b/>
          <w:szCs w:val="28"/>
        </w:rPr>
        <w:t xml:space="preserve"> to 2019/20:</w:t>
      </w:r>
    </w:p>
    <w:p w:rsidR="00484BEB" w:rsidRPr="00484BEB" w:rsidRDefault="00484BEB" w:rsidP="00484BEB">
      <w:pPr>
        <w:pBdr>
          <w:top w:val="single" w:sz="4" w:space="1" w:color="auto"/>
          <w:left w:val="single" w:sz="4" w:space="4" w:color="auto"/>
          <w:bottom w:val="single" w:sz="4" w:space="1" w:color="auto"/>
          <w:right w:val="single" w:sz="4" w:space="4" w:color="auto"/>
        </w:pBdr>
        <w:rPr>
          <w:rFonts w:ascii="Calibri" w:hAnsi="Calibri" w:cstheme="majorBidi"/>
          <w:szCs w:val="28"/>
        </w:rPr>
      </w:pPr>
      <w:r w:rsidRPr="00484BEB">
        <w:rPr>
          <w:rFonts w:ascii="Calibri" w:hAnsi="Calibri" w:cstheme="majorBidi"/>
          <w:b/>
          <w:szCs w:val="28"/>
        </w:rPr>
        <w:t>“The demands of fairness are likely to be somewhat higher when an authority contemplates depriving someone of any existing benefit or advantage than when the claimant is a bare applicant for a future benefit.”</w:t>
      </w:r>
      <w:r w:rsidRPr="00484BEB">
        <w:rPr>
          <w:rFonts w:ascii="Calibri" w:hAnsi="Calibri" w:cstheme="majorBidi"/>
          <w:szCs w:val="28"/>
        </w:rPr>
        <w:t xml:space="preserve"> (Lord Denning)</w:t>
      </w:r>
    </w:p>
    <w:p w:rsidR="00484BEB" w:rsidRPr="00484BEB" w:rsidRDefault="00484BEB" w:rsidP="00484BEB">
      <w:pPr>
        <w:pBdr>
          <w:top w:val="single" w:sz="4" w:space="1" w:color="auto"/>
          <w:left w:val="single" w:sz="4" w:space="4" w:color="auto"/>
          <w:bottom w:val="single" w:sz="4" w:space="1" w:color="auto"/>
          <w:right w:val="single" w:sz="4" w:space="4" w:color="auto"/>
        </w:pBdr>
        <w:rPr>
          <w:rFonts w:ascii="Calibri" w:hAnsi="Calibri" w:cstheme="majorBidi"/>
          <w:szCs w:val="28"/>
        </w:rPr>
      </w:pPr>
      <w:r w:rsidRPr="00484BEB">
        <w:rPr>
          <w:rFonts w:ascii="Calibri" w:hAnsi="Calibri" w:cstheme="majorBidi"/>
          <w:szCs w:val="28"/>
        </w:rPr>
        <w:t>This means that extra care is needed to meet the requirements of fairness when you are taking away an existing benefit or service from people.  Given this, there may be more reason to consult.</w:t>
      </w:r>
    </w:p>
    <w:p w:rsidR="00484BEB" w:rsidRPr="008A28FA" w:rsidRDefault="00D53129" w:rsidP="00484BEB">
      <w:pPr>
        <w:pBdr>
          <w:top w:val="single" w:sz="4" w:space="1" w:color="auto"/>
          <w:left w:val="single" w:sz="4" w:space="4" w:color="auto"/>
          <w:bottom w:val="single" w:sz="4" w:space="1" w:color="auto"/>
          <w:right w:val="single" w:sz="4" w:space="4" w:color="auto"/>
        </w:pBdr>
        <w:rPr>
          <w:rFonts w:ascii="Calibri" w:hAnsi="Calibri" w:cstheme="majorBidi"/>
          <w:color w:val="000000" w:themeColor="text1"/>
          <w:szCs w:val="28"/>
        </w:rPr>
      </w:pPr>
      <w:r w:rsidRPr="008A28FA">
        <w:rPr>
          <w:rFonts w:ascii="Calibri" w:hAnsi="Calibri" w:cstheme="majorBidi"/>
          <w:color w:val="000000" w:themeColor="text1"/>
          <w:szCs w:val="28"/>
        </w:rPr>
        <w:t xml:space="preserve">Decisions </w:t>
      </w:r>
      <w:r w:rsidR="00467D23" w:rsidRPr="008A28FA">
        <w:rPr>
          <w:rFonts w:ascii="Calibri" w:hAnsi="Calibri" w:cstheme="majorBidi"/>
          <w:color w:val="000000" w:themeColor="text1"/>
          <w:szCs w:val="28"/>
        </w:rPr>
        <w:t>should have</w:t>
      </w:r>
      <w:r w:rsidR="00484BEB" w:rsidRPr="008A28FA">
        <w:rPr>
          <w:rFonts w:ascii="Calibri" w:hAnsi="Calibri" w:cstheme="majorBidi"/>
          <w:color w:val="000000" w:themeColor="text1"/>
          <w:szCs w:val="28"/>
        </w:rPr>
        <w:t xml:space="preserve"> already been taken about whether consultation is necessary on savings being </w:t>
      </w:r>
      <w:r w:rsidR="00510E48" w:rsidRPr="008A28FA">
        <w:rPr>
          <w:rFonts w:ascii="Calibri" w:hAnsi="Calibri" w:cstheme="majorBidi"/>
          <w:color w:val="000000" w:themeColor="text1"/>
          <w:szCs w:val="28"/>
        </w:rPr>
        <w:t>made</w:t>
      </w:r>
      <w:r w:rsidR="00484BEB" w:rsidRPr="008A28FA">
        <w:rPr>
          <w:rFonts w:ascii="Calibri" w:hAnsi="Calibri" w:cstheme="majorBidi"/>
          <w:color w:val="000000" w:themeColor="text1"/>
          <w:szCs w:val="28"/>
        </w:rPr>
        <w:t xml:space="preserve"> in the 1</w:t>
      </w:r>
      <w:r w:rsidR="00510E48" w:rsidRPr="008A28FA">
        <w:rPr>
          <w:rFonts w:ascii="Calibri" w:hAnsi="Calibri" w:cstheme="majorBidi"/>
          <w:color w:val="000000" w:themeColor="text1"/>
          <w:szCs w:val="28"/>
        </w:rPr>
        <w:t>7</w:t>
      </w:r>
      <w:r w:rsidR="00484BEB" w:rsidRPr="008A28FA">
        <w:rPr>
          <w:rFonts w:ascii="Calibri" w:hAnsi="Calibri" w:cstheme="majorBidi"/>
          <w:color w:val="000000" w:themeColor="text1"/>
          <w:szCs w:val="28"/>
        </w:rPr>
        <w:t>/</w:t>
      </w:r>
      <w:proofErr w:type="gramStart"/>
      <w:r w:rsidR="00484BEB" w:rsidRPr="008A28FA">
        <w:rPr>
          <w:rFonts w:ascii="Calibri" w:hAnsi="Calibri" w:cstheme="majorBidi"/>
          <w:color w:val="000000" w:themeColor="text1"/>
          <w:szCs w:val="28"/>
        </w:rPr>
        <w:t>1</w:t>
      </w:r>
      <w:r w:rsidR="00510E48" w:rsidRPr="008A28FA">
        <w:rPr>
          <w:rFonts w:ascii="Calibri" w:hAnsi="Calibri" w:cstheme="majorBidi"/>
          <w:color w:val="000000" w:themeColor="text1"/>
          <w:szCs w:val="28"/>
        </w:rPr>
        <w:t>8</w:t>
      </w:r>
      <w:r w:rsidR="00484BEB" w:rsidRPr="008A28FA">
        <w:rPr>
          <w:rFonts w:ascii="Calibri" w:hAnsi="Calibri" w:cstheme="majorBidi"/>
          <w:color w:val="000000" w:themeColor="text1"/>
          <w:szCs w:val="28"/>
        </w:rPr>
        <w:t>,</w:t>
      </w:r>
      <w:proofErr w:type="gramEnd"/>
      <w:r w:rsidR="00484BEB" w:rsidRPr="008A28FA">
        <w:rPr>
          <w:rFonts w:ascii="Calibri" w:hAnsi="Calibri" w:cstheme="majorBidi"/>
          <w:color w:val="000000" w:themeColor="text1"/>
          <w:szCs w:val="28"/>
        </w:rPr>
        <w:t xml:space="preserve"> however this </w:t>
      </w:r>
      <w:r w:rsidR="008A28FA">
        <w:rPr>
          <w:rFonts w:ascii="Calibri" w:hAnsi="Calibri" w:cstheme="majorBidi"/>
          <w:color w:val="000000" w:themeColor="text1"/>
          <w:szCs w:val="28"/>
        </w:rPr>
        <w:t xml:space="preserve">will </w:t>
      </w:r>
      <w:r w:rsidR="00484BEB" w:rsidRPr="008A28FA">
        <w:rPr>
          <w:rFonts w:ascii="Calibri" w:hAnsi="Calibri" w:cstheme="majorBidi"/>
          <w:color w:val="000000" w:themeColor="text1"/>
          <w:szCs w:val="28"/>
        </w:rPr>
        <w:t xml:space="preserve">not </w:t>
      </w:r>
      <w:r w:rsidR="008A28FA">
        <w:rPr>
          <w:rFonts w:ascii="Calibri" w:hAnsi="Calibri" w:cstheme="majorBidi"/>
          <w:color w:val="000000" w:themeColor="text1"/>
          <w:szCs w:val="28"/>
        </w:rPr>
        <w:t xml:space="preserve">be </w:t>
      </w:r>
      <w:r w:rsidR="00484BEB" w:rsidRPr="008A28FA">
        <w:rPr>
          <w:rFonts w:ascii="Calibri" w:hAnsi="Calibri" w:cstheme="majorBidi"/>
          <w:color w:val="000000" w:themeColor="text1"/>
          <w:szCs w:val="28"/>
        </w:rPr>
        <w:t xml:space="preserve">the case for everything.  </w:t>
      </w:r>
      <w:r w:rsidR="00510E48" w:rsidRPr="008A28FA">
        <w:rPr>
          <w:rFonts w:ascii="Calibri" w:hAnsi="Calibri" w:cstheme="majorBidi"/>
          <w:color w:val="000000" w:themeColor="text1"/>
          <w:szCs w:val="28"/>
        </w:rPr>
        <w:t xml:space="preserve">Ideally all </w:t>
      </w:r>
      <w:r w:rsidR="008A28FA">
        <w:rPr>
          <w:rFonts w:ascii="Calibri" w:hAnsi="Calibri" w:cstheme="majorBidi"/>
          <w:color w:val="000000" w:themeColor="text1"/>
          <w:szCs w:val="28"/>
        </w:rPr>
        <w:t xml:space="preserve">budget </w:t>
      </w:r>
      <w:bookmarkStart w:id="2" w:name="_GoBack"/>
      <w:bookmarkEnd w:id="2"/>
      <w:r w:rsidR="00510E48" w:rsidRPr="008A28FA">
        <w:rPr>
          <w:rFonts w:ascii="Calibri" w:hAnsi="Calibri" w:cstheme="majorBidi"/>
          <w:color w:val="000000" w:themeColor="text1"/>
          <w:szCs w:val="28"/>
        </w:rPr>
        <w:t>service specific consultations for 2017/18 should be completed and fed into the committe</w:t>
      </w:r>
      <w:r w:rsidR="008A28FA" w:rsidRPr="008A28FA">
        <w:rPr>
          <w:rFonts w:ascii="Calibri" w:hAnsi="Calibri" w:cstheme="majorBidi"/>
          <w:color w:val="000000" w:themeColor="text1"/>
          <w:szCs w:val="28"/>
        </w:rPr>
        <w:t>e</w:t>
      </w:r>
      <w:r w:rsidR="00510E48" w:rsidRPr="008A28FA">
        <w:rPr>
          <w:rFonts w:ascii="Calibri" w:hAnsi="Calibri" w:cstheme="majorBidi"/>
          <w:color w:val="000000" w:themeColor="text1"/>
          <w:szCs w:val="28"/>
        </w:rPr>
        <w:t xml:space="preserve"> decision process by </w:t>
      </w:r>
      <w:r w:rsidR="008A28FA" w:rsidRPr="008A28FA">
        <w:rPr>
          <w:rFonts w:ascii="Calibri" w:hAnsi="Calibri" w:cstheme="majorBidi"/>
          <w:color w:val="000000" w:themeColor="text1"/>
          <w:szCs w:val="28"/>
        </w:rPr>
        <w:t>October</w:t>
      </w:r>
      <w:r w:rsidR="00510E48" w:rsidRPr="008A28FA">
        <w:rPr>
          <w:rFonts w:ascii="Calibri" w:hAnsi="Calibri" w:cstheme="majorBidi"/>
          <w:color w:val="000000" w:themeColor="text1"/>
          <w:szCs w:val="28"/>
        </w:rPr>
        <w:t xml:space="preserve"> 2016, pr</w:t>
      </w:r>
      <w:r w:rsidR="008A28FA">
        <w:rPr>
          <w:rFonts w:ascii="Calibri" w:hAnsi="Calibri" w:cstheme="majorBidi"/>
          <w:color w:val="000000" w:themeColor="text1"/>
          <w:szCs w:val="28"/>
        </w:rPr>
        <w:t>i</w:t>
      </w:r>
      <w:r w:rsidR="00510E48" w:rsidRPr="008A28FA">
        <w:rPr>
          <w:rFonts w:ascii="Calibri" w:hAnsi="Calibri" w:cstheme="majorBidi"/>
          <w:color w:val="000000" w:themeColor="text1"/>
          <w:szCs w:val="28"/>
        </w:rPr>
        <w:t xml:space="preserve">or to publishing the </w:t>
      </w:r>
      <w:r w:rsidR="008A28FA" w:rsidRPr="008A28FA">
        <w:rPr>
          <w:rFonts w:ascii="Calibri" w:hAnsi="Calibri" w:cstheme="majorBidi"/>
          <w:color w:val="000000" w:themeColor="text1"/>
          <w:szCs w:val="28"/>
        </w:rPr>
        <w:t>2017/18 savings</w:t>
      </w:r>
      <w:r w:rsidR="00510E48" w:rsidRPr="008A28FA">
        <w:rPr>
          <w:rFonts w:ascii="Calibri" w:hAnsi="Calibri" w:cstheme="majorBidi"/>
          <w:color w:val="000000" w:themeColor="text1"/>
          <w:szCs w:val="28"/>
        </w:rPr>
        <w:t>. If they have not been completed by then</w:t>
      </w:r>
      <w:r w:rsidR="00D1095D" w:rsidRPr="008A28FA">
        <w:rPr>
          <w:rFonts w:ascii="Calibri" w:hAnsi="Calibri" w:cstheme="majorBidi"/>
          <w:color w:val="000000" w:themeColor="text1"/>
          <w:szCs w:val="28"/>
        </w:rPr>
        <w:t xml:space="preserve"> </w:t>
      </w:r>
      <w:r w:rsidR="00467D23" w:rsidRPr="008A28FA">
        <w:rPr>
          <w:rFonts w:ascii="Calibri" w:hAnsi="Calibri" w:cstheme="majorBidi"/>
          <w:color w:val="000000" w:themeColor="text1"/>
          <w:szCs w:val="28"/>
        </w:rPr>
        <w:t>they</w:t>
      </w:r>
      <w:r w:rsidR="00D1095D" w:rsidRPr="008A28FA">
        <w:rPr>
          <w:rFonts w:ascii="Calibri" w:hAnsi="Calibri" w:cstheme="majorBidi"/>
          <w:color w:val="000000" w:themeColor="text1"/>
          <w:szCs w:val="28"/>
        </w:rPr>
        <w:t xml:space="preserve"> </w:t>
      </w:r>
      <w:r w:rsidR="002F3FD6" w:rsidRPr="008A28FA">
        <w:rPr>
          <w:rFonts w:ascii="Calibri" w:hAnsi="Calibri" w:cstheme="majorBidi"/>
          <w:color w:val="000000" w:themeColor="text1"/>
          <w:szCs w:val="28"/>
        </w:rPr>
        <w:t>will need to be completed by the 31</w:t>
      </w:r>
      <w:r w:rsidR="002F3FD6" w:rsidRPr="008A28FA">
        <w:rPr>
          <w:rFonts w:ascii="Calibri" w:hAnsi="Calibri" w:cstheme="majorBidi"/>
          <w:color w:val="000000" w:themeColor="text1"/>
          <w:szCs w:val="28"/>
          <w:vertAlign w:val="superscript"/>
        </w:rPr>
        <w:t>st</w:t>
      </w:r>
      <w:r w:rsidR="002F3FD6" w:rsidRPr="008A28FA">
        <w:rPr>
          <w:rFonts w:ascii="Calibri" w:hAnsi="Calibri" w:cstheme="majorBidi"/>
          <w:color w:val="000000" w:themeColor="text1"/>
          <w:szCs w:val="28"/>
        </w:rPr>
        <w:t xml:space="preserve"> </w:t>
      </w:r>
      <w:r w:rsidR="00467D23" w:rsidRPr="008A28FA">
        <w:rPr>
          <w:rFonts w:ascii="Calibri" w:hAnsi="Calibri" w:cstheme="majorBidi"/>
          <w:color w:val="000000" w:themeColor="text1"/>
          <w:szCs w:val="28"/>
        </w:rPr>
        <w:t>January</w:t>
      </w:r>
      <w:r w:rsidR="002F3FD6" w:rsidRPr="008A28FA">
        <w:rPr>
          <w:rFonts w:ascii="Calibri" w:hAnsi="Calibri" w:cstheme="majorBidi"/>
          <w:color w:val="000000" w:themeColor="text1"/>
          <w:szCs w:val="28"/>
        </w:rPr>
        <w:t xml:space="preserve"> 201</w:t>
      </w:r>
      <w:r w:rsidR="00510E48" w:rsidRPr="008A28FA">
        <w:rPr>
          <w:rFonts w:ascii="Calibri" w:hAnsi="Calibri" w:cstheme="majorBidi"/>
          <w:color w:val="000000" w:themeColor="text1"/>
          <w:szCs w:val="28"/>
        </w:rPr>
        <w:t>7</w:t>
      </w:r>
      <w:r w:rsidR="002F3FD6" w:rsidRPr="008A28FA">
        <w:rPr>
          <w:rFonts w:ascii="Calibri" w:hAnsi="Calibri" w:cstheme="majorBidi"/>
          <w:color w:val="000000" w:themeColor="text1"/>
          <w:szCs w:val="28"/>
        </w:rPr>
        <w:t xml:space="preserve"> the latest. </w:t>
      </w:r>
      <w:r w:rsidR="00484BEB" w:rsidRPr="008A28FA">
        <w:rPr>
          <w:rFonts w:ascii="Calibri" w:hAnsi="Calibri" w:cstheme="majorBidi"/>
          <w:color w:val="000000" w:themeColor="text1"/>
          <w:szCs w:val="28"/>
        </w:rPr>
        <w:t xml:space="preserve">Please continue to seek advice from </w:t>
      </w:r>
      <w:r w:rsidRPr="008A28FA">
        <w:rPr>
          <w:rFonts w:ascii="Calibri" w:hAnsi="Calibri" w:cstheme="majorBidi"/>
          <w:color w:val="000000" w:themeColor="text1"/>
          <w:szCs w:val="28"/>
        </w:rPr>
        <w:t>L</w:t>
      </w:r>
      <w:r w:rsidR="00484BEB" w:rsidRPr="008A28FA">
        <w:rPr>
          <w:rFonts w:ascii="Calibri" w:hAnsi="Calibri" w:cstheme="majorBidi"/>
          <w:color w:val="000000" w:themeColor="text1"/>
          <w:szCs w:val="28"/>
        </w:rPr>
        <w:t xml:space="preserve">egal </w:t>
      </w:r>
      <w:r w:rsidRPr="008A28FA">
        <w:rPr>
          <w:rFonts w:ascii="Calibri" w:hAnsi="Calibri" w:cstheme="majorBidi"/>
          <w:color w:val="000000" w:themeColor="text1"/>
          <w:szCs w:val="28"/>
        </w:rPr>
        <w:t>and Consultation</w:t>
      </w:r>
      <w:r w:rsidR="00484BEB" w:rsidRPr="008A28FA">
        <w:rPr>
          <w:rFonts w:ascii="Calibri" w:hAnsi="Calibri" w:cstheme="majorBidi"/>
          <w:color w:val="000000" w:themeColor="text1"/>
          <w:szCs w:val="28"/>
        </w:rPr>
        <w:t xml:space="preserve"> about whether it is necessary, bearing in mind the criteria mentioned above.</w:t>
      </w:r>
    </w:p>
    <w:p w:rsidR="00D53129" w:rsidRDefault="00D53129" w:rsidP="00484BEB">
      <w:pPr>
        <w:pBdr>
          <w:top w:val="single" w:sz="4" w:space="1" w:color="auto"/>
          <w:left w:val="single" w:sz="4" w:space="4" w:color="auto"/>
          <w:bottom w:val="single" w:sz="4" w:space="1" w:color="auto"/>
          <w:right w:val="single" w:sz="4" w:space="4" w:color="auto"/>
        </w:pBdr>
        <w:rPr>
          <w:rFonts w:ascii="Calibri" w:hAnsi="Calibri" w:cstheme="majorBidi"/>
          <w:szCs w:val="28"/>
        </w:rPr>
      </w:pPr>
      <w:r w:rsidRPr="008A28FA">
        <w:rPr>
          <w:rFonts w:ascii="Calibri" w:hAnsi="Calibri" w:cstheme="majorBidi"/>
          <w:color w:val="000000" w:themeColor="text1"/>
          <w:szCs w:val="28"/>
        </w:rPr>
        <w:t xml:space="preserve">As proposals are developed in full for the rest of the MTFS savings you should carefully </w:t>
      </w:r>
      <w:r w:rsidR="00467D23" w:rsidRPr="008A28FA">
        <w:rPr>
          <w:rFonts w:ascii="Calibri" w:hAnsi="Calibri" w:cstheme="majorBidi"/>
          <w:color w:val="000000" w:themeColor="text1"/>
          <w:szCs w:val="28"/>
        </w:rPr>
        <w:t>review whether</w:t>
      </w:r>
      <w:r w:rsidRPr="008A28FA">
        <w:rPr>
          <w:rFonts w:ascii="Calibri" w:hAnsi="Calibri" w:cstheme="majorBidi"/>
          <w:color w:val="000000" w:themeColor="text1"/>
          <w:szCs w:val="28"/>
        </w:rPr>
        <w:t xml:space="preserve"> </w:t>
      </w:r>
      <w:r w:rsidR="00467D23" w:rsidRPr="008A28FA">
        <w:rPr>
          <w:rFonts w:ascii="Calibri" w:hAnsi="Calibri" w:cstheme="majorBidi"/>
          <w:color w:val="000000" w:themeColor="text1"/>
          <w:szCs w:val="28"/>
        </w:rPr>
        <w:t>these will</w:t>
      </w:r>
      <w:r w:rsidRPr="008A28FA">
        <w:rPr>
          <w:rFonts w:ascii="Calibri" w:hAnsi="Calibri" w:cstheme="majorBidi"/>
          <w:color w:val="000000" w:themeColor="text1"/>
          <w:szCs w:val="28"/>
        </w:rPr>
        <w:t xml:space="preserve"> impact on customers and if consultation will be </w:t>
      </w:r>
      <w:r w:rsidR="003E7BCC" w:rsidRPr="008A28FA">
        <w:rPr>
          <w:rFonts w:ascii="Calibri" w:hAnsi="Calibri" w:cstheme="majorBidi"/>
          <w:color w:val="000000" w:themeColor="text1"/>
          <w:szCs w:val="28"/>
        </w:rPr>
        <w:t>required</w:t>
      </w:r>
      <w:r w:rsidR="00467D23" w:rsidRPr="008A28FA">
        <w:rPr>
          <w:rFonts w:ascii="Calibri" w:hAnsi="Calibri" w:cstheme="majorBidi"/>
          <w:color w:val="000000" w:themeColor="text1"/>
          <w:szCs w:val="28"/>
        </w:rPr>
        <w:t>.</w:t>
      </w:r>
      <w:r w:rsidRPr="008A28FA">
        <w:rPr>
          <w:rFonts w:ascii="Calibri" w:hAnsi="Calibri" w:cstheme="majorBidi"/>
          <w:color w:val="000000" w:themeColor="text1"/>
          <w:szCs w:val="28"/>
        </w:rPr>
        <w:t xml:space="preserve"> Consultation should happen in the previous year </w:t>
      </w:r>
      <w:r w:rsidR="00F922D0" w:rsidRPr="008A28FA">
        <w:rPr>
          <w:rFonts w:ascii="Calibri" w:hAnsi="Calibri" w:cstheme="majorBidi"/>
          <w:color w:val="000000" w:themeColor="text1"/>
          <w:szCs w:val="28"/>
        </w:rPr>
        <w:t xml:space="preserve">that </w:t>
      </w:r>
      <w:r w:rsidRPr="008A28FA">
        <w:rPr>
          <w:rFonts w:ascii="Calibri" w:hAnsi="Calibri" w:cstheme="majorBidi"/>
          <w:color w:val="000000" w:themeColor="text1"/>
          <w:szCs w:val="28"/>
        </w:rPr>
        <w:t xml:space="preserve">you are planning to make the savings, and be completed by </w:t>
      </w:r>
      <w:r w:rsidR="003E7BCC" w:rsidRPr="008A28FA">
        <w:rPr>
          <w:rFonts w:ascii="Calibri" w:hAnsi="Calibri" w:cstheme="majorBidi"/>
          <w:color w:val="000000" w:themeColor="text1"/>
          <w:szCs w:val="28"/>
        </w:rPr>
        <w:t xml:space="preserve">the </w:t>
      </w:r>
      <w:r w:rsidRPr="008A28FA">
        <w:rPr>
          <w:rFonts w:ascii="Calibri" w:hAnsi="Calibri" w:cstheme="majorBidi"/>
          <w:color w:val="000000" w:themeColor="text1"/>
          <w:szCs w:val="28"/>
        </w:rPr>
        <w:t xml:space="preserve">October </w:t>
      </w:r>
      <w:r w:rsidR="00F922D0" w:rsidRPr="008A28FA">
        <w:rPr>
          <w:rFonts w:ascii="Calibri" w:hAnsi="Calibri" w:cstheme="majorBidi"/>
          <w:color w:val="000000" w:themeColor="text1"/>
          <w:szCs w:val="28"/>
        </w:rPr>
        <w:t>of the previous financial year</w:t>
      </w:r>
      <w:r w:rsidRPr="008A28FA">
        <w:rPr>
          <w:rFonts w:ascii="Calibri" w:hAnsi="Calibri" w:cstheme="majorBidi"/>
          <w:color w:val="000000" w:themeColor="text1"/>
          <w:szCs w:val="28"/>
        </w:rPr>
        <w:t>.</w:t>
      </w:r>
      <w:r w:rsidR="002F3FD6" w:rsidRPr="008A28FA">
        <w:rPr>
          <w:rFonts w:ascii="Calibri" w:hAnsi="Calibri" w:cstheme="majorBidi"/>
          <w:color w:val="000000" w:themeColor="text1"/>
          <w:szCs w:val="28"/>
        </w:rPr>
        <w:t xml:space="preserve"> Again please continue to seek advice from Legal and Consultation about whether it is necessary</w:t>
      </w:r>
    </w:p>
    <w:p w:rsidR="00484BEB" w:rsidRPr="00484BEB" w:rsidRDefault="00484BEB" w:rsidP="00484BEB">
      <w:pPr>
        <w:contextualSpacing/>
        <w:rPr>
          <w:rFonts w:ascii="Arial" w:hAnsi="Arial" w:cs="Arial"/>
          <w:b/>
          <w:szCs w:val="28"/>
        </w:rPr>
      </w:pPr>
    </w:p>
    <w:p w:rsidR="00484BEB" w:rsidRPr="00484BEB" w:rsidRDefault="00484BEB" w:rsidP="00484BEB">
      <w:pPr>
        <w:contextualSpacing/>
        <w:rPr>
          <w:rFonts w:ascii="Arial" w:hAnsi="Arial" w:cs="Arial"/>
          <w:b/>
          <w:szCs w:val="28"/>
        </w:rPr>
      </w:pPr>
      <w:r w:rsidRPr="00484BEB">
        <w:rPr>
          <w:rFonts w:ascii="Arial" w:hAnsi="Arial" w:cs="Arial"/>
          <w:b/>
          <w:szCs w:val="28"/>
        </w:rPr>
        <w:t>However</w:t>
      </w:r>
      <w:r w:rsidR="002E7957">
        <w:rPr>
          <w:rFonts w:ascii="Arial" w:hAnsi="Arial" w:cs="Arial"/>
          <w:b/>
          <w:szCs w:val="28"/>
        </w:rPr>
        <w:t>,</w:t>
      </w:r>
      <w:r w:rsidRPr="00484BEB">
        <w:rPr>
          <w:rFonts w:ascii="Arial" w:hAnsi="Arial" w:cs="Arial"/>
          <w:b/>
          <w:szCs w:val="28"/>
        </w:rPr>
        <w:t xml:space="preserve"> there may be instances you will need to informally consult and engage with residents and stakeholders: </w:t>
      </w:r>
    </w:p>
    <w:p w:rsidR="00484BEB" w:rsidRPr="00484BEB" w:rsidRDefault="00484BEB" w:rsidP="00484BEB">
      <w:pPr>
        <w:spacing w:after="0" w:line="240" w:lineRule="auto"/>
        <w:rPr>
          <w:rFonts w:ascii="Arial" w:eastAsia="Times New Roman" w:hAnsi="Arial" w:cs="Arial"/>
          <w:lang w:val="en"/>
        </w:rPr>
      </w:pPr>
      <w:r w:rsidRPr="00484BEB">
        <w:rPr>
          <w:rFonts w:ascii="Arial" w:eastAsia="Times New Roman" w:hAnsi="Arial" w:cs="Arial"/>
          <w:lang w:val="en"/>
        </w:rPr>
        <w:t>Informal consultation and engagement</w:t>
      </w:r>
      <w:r w:rsidRPr="00484BEB">
        <w:rPr>
          <w:rFonts w:ascii="Arial" w:eastAsia="Times New Roman" w:hAnsi="Arial" w:cs="Arial"/>
          <w:sz w:val="16"/>
          <w:szCs w:val="16"/>
          <w:lang w:val="en"/>
        </w:rPr>
        <w:footnoteReference w:id="1"/>
      </w:r>
      <w:r w:rsidRPr="00484BEB">
        <w:rPr>
          <w:rFonts w:ascii="Arial" w:eastAsia="Times New Roman" w:hAnsi="Arial" w:cs="Arial"/>
          <w:sz w:val="16"/>
          <w:szCs w:val="16"/>
          <w:lang w:val="en"/>
        </w:rPr>
        <w:t xml:space="preserve">  </w:t>
      </w:r>
      <w:r w:rsidR="00467D23" w:rsidRPr="00484BEB">
        <w:rPr>
          <w:rFonts w:ascii="Arial" w:eastAsia="Times New Roman" w:hAnsi="Arial" w:cs="Arial"/>
          <w:lang w:val="en"/>
        </w:rPr>
        <w:t>may be</w:t>
      </w:r>
      <w:r w:rsidRPr="00484BEB">
        <w:rPr>
          <w:rFonts w:ascii="Arial" w:eastAsia="Times New Roman" w:hAnsi="Arial" w:cs="Arial"/>
          <w:lang w:val="en"/>
        </w:rPr>
        <w:t xml:space="preserve"> required when developing your plans for future of service delivery, polices, strategies or a business case before going out to formal consultation.  </w:t>
      </w:r>
    </w:p>
    <w:p w:rsidR="00484BEB" w:rsidRPr="00484BEB" w:rsidRDefault="00484BEB" w:rsidP="00484BEB">
      <w:pPr>
        <w:spacing w:after="0" w:line="240" w:lineRule="auto"/>
        <w:rPr>
          <w:rFonts w:ascii="Arial" w:eastAsia="Times New Roman" w:hAnsi="Arial" w:cs="Arial"/>
          <w:lang w:val="en"/>
        </w:rPr>
      </w:pPr>
    </w:p>
    <w:p w:rsidR="00484BEB" w:rsidRPr="00484BEB" w:rsidRDefault="00484BEB" w:rsidP="00484BEB">
      <w:pPr>
        <w:spacing w:after="0" w:line="240" w:lineRule="auto"/>
        <w:rPr>
          <w:rFonts w:ascii="Arial" w:eastAsia="Times New Roman" w:hAnsi="Arial" w:cs="Arial"/>
          <w:lang w:val="en"/>
        </w:rPr>
      </w:pPr>
      <w:r w:rsidRPr="00484BEB">
        <w:rPr>
          <w:rFonts w:ascii="Arial" w:eastAsia="Times New Roman" w:hAnsi="Arial" w:cs="Arial"/>
          <w:lang w:val="en"/>
        </w:rPr>
        <w:t>Informal consultation and engag</w:t>
      </w:r>
      <w:r>
        <w:rPr>
          <w:rFonts w:ascii="Arial" w:eastAsia="Times New Roman" w:hAnsi="Arial" w:cs="Arial"/>
          <w:lang w:val="en"/>
        </w:rPr>
        <w:t>e</w:t>
      </w:r>
      <w:r w:rsidRPr="00484BEB">
        <w:rPr>
          <w:rFonts w:ascii="Arial" w:eastAsia="Times New Roman" w:hAnsi="Arial" w:cs="Arial"/>
          <w:lang w:val="en"/>
        </w:rPr>
        <w:t>ment can be used to help identify who is likely to be affected by your plans or to involve residents and serv</w:t>
      </w:r>
      <w:r>
        <w:rPr>
          <w:rFonts w:ascii="Arial" w:eastAsia="Times New Roman" w:hAnsi="Arial" w:cs="Arial"/>
          <w:lang w:val="en"/>
        </w:rPr>
        <w:t xml:space="preserve">ice </w:t>
      </w:r>
      <w:r w:rsidRPr="00484BEB">
        <w:rPr>
          <w:rFonts w:ascii="Arial" w:eastAsia="Times New Roman" w:hAnsi="Arial" w:cs="Arial"/>
          <w:lang w:val="en"/>
        </w:rPr>
        <w:t>users in the development of your services, policies, strategies or a business case.</w:t>
      </w:r>
    </w:p>
    <w:p w:rsidR="00484BEB" w:rsidRPr="00484BEB" w:rsidRDefault="00484BEB" w:rsidP="00484BEB">
      <w:pPr>
        <w:spacing w:after="0" w:line="240" w:lineRule="auto"/>
        <w:rPr>
          <w:rFonts w:ascii="Arial" w:eastAsia="Times New Roman" w:hAnsi="Arial" w:cs="Arial"/>
          <w:lang w:val="en"/>
        </w:rPr>
      </w:pPr>
    </w:p>
    <w:p w:rsidR="00484BEB" w:rsidRPr="00484BEB" w:rsidRDefault="00484BEB" w:rsidP="00484BEB">
      <w:pPr>
        <w:spacing w:after="0" w:line="240" w:lineRule="auto"/>
        <w:rPr>
          <w:rFonts w:ascii="Arial" w:eastAsia="Times New Roman" w:hAnsi="Arial" w:cs="Arial"/>
          <w:lang w:val="en"/>
        </w:rPr>
      </w:pPr>
      <w:r w:rsidRPr="00484BEB">
        <w:rPr>
          <w:rFonts w:ascii="Arial" w:eastAsia="Times New Roman" w:hAnsi="Arial" w:cs="Arial"/>
          <w:lang w:val="en"/>
        </w:rPr>
        <w:t xml:space="preserve">When developing your </w:t>
      </w:r>
      <w:r w:rsidRPr="00484BEB">
        <w:rPr>
          <w:rFonts w:ascii="Arial" w:eastAsia="Times New Roman" w:hAnsi="Arial" w:cs="Arial"/>
          <w:u w:val="single"/>
          <w:lang w:val="en"/>
        </w:rPr>
        <w:t>consultation and engag</w:t>
      </w:r>
      <w:r>
        <w:rPr>
          <w:rFonts w:ascii="Arial" w:eastAsia="Times New Roman" w:hAnsi="Arial" w:cs="Arial"/>
          <w:u w:val="single"/>
          <w:lang w:val="en"/>
        </w:rPr>
        <w:t>e</w:t>
      </w:r>
      <w:r w:rsidRPr="00484BEB">
        <w:rPr>
          <w:rFonts w:ascii="Arial" w:eastAsia="Times New Roman" w:hAnsi="Arial" w:cs="Arial"/>
          <w:u w:val="single"/>
          <w:lang w:val="en"/>
        </w:rPr>
        <w:t xml:space="preserve">ment plan </w:t>
      </w:r>
      <w:r w:rsidRPr="00484BEB">
        <w:rPr>
          <w:rFonts w:ascii="Arial" w:eastAsia="Times New Roman" w:hAnsi="Arial" w:cs="Arial"/>
          <w:lang w:val="en"/>
        </w:rPr>
        <w:t xml:space="preserve">you need to ensure you include the different phases of consultation and engagement, making it clear when you will be conducting </w:t>
      </w:r>
      <w:r w:rsidR="00467D23" w:rsidRPr="00484BEB">
        <w:rPr>
          <w:rFonts w:ascii="Arial" w:eastAsia="Times New Roman" w:hAnsi="Arial" w:cs="Arial"/>
          <w:lang w:val="en"/>
        </w:rPr>
        <w:t>formal consultation</w:t>
      </w:r>
      <w:r w:rsidRPr="00484BEB">
        <w:rPr>
          <w:rFonts w:ascii="Arial" w:eastAsia="Times New Roman" w:hAnsi="Arial" w:cs="Arial"/>
          <w:lang w:val="en"/>
        </w:rPr>
        <w:t xml:space="preserve"> and when you will </w:t>
      </w:r>
      <w:r w:rsidR="00467D23">
        <w:rPr>
          <w:rFonts w:ascii="Arial" w:eastAsia="Times New Roman" w:hAnsi="Arial" w:cs="Arial"/>
          <w:lang w:val="en"/>
        </w:rPr>
        <w:t xml:space="preserve">be </w:t>
      </w:r>
      <w:r w:rsidRPr="00484BEB">
        <w:rPr>
          <w:rFonts w:ascii="Arial" w:eastAsia="Times New Roman" w:hAnsi="Arial" w:cs="Arial"/>
          <w:lang w:val="en"/>
        </w:rPr>
        <w:t xml:space="preserve">conducting informal consultation.  </w:t>
      </w:r>
    </w:p>
    <w:p w:rsidR="00484BEB" w:rsidRPr="00484BEB" w:rsidRDefault="00484BEB" w:rsidP="00484BEB">
      <w:pPr>
        <w:spacing w:after="0" w:line="240" w:lineRule="auto"/>
        <w:rPr>
          <w:rFonts w:ascii="Arial" w:eastAsia="Times New Roman" w:hAnsi="Arial" w:cs="Arial"/>
          <w:lang w:val="en"/>
        </w:rPr>
      </w:pPr>
    </w:p>
    <w:p w:rsidR="00484BEB" w:rsidRPr="00484BEB" w:rsidRDefault="00484BEB" w:rsidP="00484BEB">
      <w:pPr>
        <w:spacing w:after="0" w:line="240" w:lineRule="auto"/>
        <w:rPr>
          <w:rFonts w:ascii="Arial" w:eastAsia="Times New Roman" w:hAnsi="Arial" w:cs="Arial"/>
          <w:lang w:val="en"/>
        </w:rPr>
      </w:pPr>
    </w:p>
    <w:p w:rsidR="00757263" w:rsidRPr="00757263" w:rsidRDefault="00484BEB" w:rsidP="00484BEB">
      <w:pPr>
        <w:rPr>
          <w:rFonts w:ascii="Arial" w:hAnsi="Arial" w:cs="Arial"/>
          <w:b/>
          <w:bCs/>
          <w:lang w:val="en-US"/>
        </w:rPr>
      </w:pPr>
      <w:r w:rsidRPr="00484BEB">
        <w:rPr>
          <w:rFonts w:ascii="Arial" w:eastAsia="Times New Roman" w:hAnsi="Arial" w:cs="Arial"/>
          <w:lang w:val="en"/>
        </w:rPr>
        <w:t>If you’re not sure, or want advice on any of the above, contact Rosie Evangelou.</w:t>
      </w:r>
      <w:bookmarkEnd w:id="0"/>
      <w:bookmarkEnd w:id="1"/>
    </w:p>
    <w:sectPr w:rsidR="00757263" w:rsidRPr="00757263" w:rsidSect="002F3FD6">
      <w:pgSz w:w="11906" w:h="16838"/>
      <w:pgMar w:top="851" w:right="991"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E48" w:rsidRDefault="00510E48" w:rsidP="00757263">
      <w:pPr>
        <w:spacing w:after="0" w:line="240" w:lineRule="auto"/>
      </w:pPr>
      <w:r>
        <w:separator/>
      </w:r>
    </w:p>
  </w:endnote>
  <w:endnote w:type="continuationSeparator" w:id="0">
    <w:p w:rsidR="00510E48" w:rsidRDefault="00510E48" w:rsidP="00757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E48" w:rsidRDefault="00510E48" w:rsidP="00757263">
      <w:pPr>
        <w:spacing w:after="0" w:line="240" w:lineRule="auto"/>
      </w:pPr>
      <w:r>
        <w:separator/>
      </w:r>
    </w:p>
  </w:footnote>
  <w:footnote w:type="continuationSeparator" w:id="0">
    <w:p w:rsidR="00510E48" w:rsidRDefault="00510E48" w:rsidP="00757263">
      <w:pPr>
        <w:spacing w:after="0" w:line="240" w:lineRule="auto"/>
      </w:pPr>
      <w:r>
        <w:continuationSeparator/>
      </w:r>
    </w:p>
  </w:footnote>
  <w:footnote w:id="1">
    <w:p w:rsidR="00510E48" w:rsidRDefault="00510E48" w:rsidP="00484BEB">
      <w:pPr>
        <w:pStyle w:val="FootnoteText"/>
      </w:pPr>
      <w:r>
        <w:rPr>
          <w:rStyle w:val="FootnoteReference"/>
        </w:rPr>
        <w:footnoteRef/>
      </w:r>
      <w:r>
        <w:t xml:space="preserve"> Please refer to the whole engagement spectrum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40BF9"/>
    <w:multiLevelType w:val="hybridMultilevel"/>
    <w:tmpl w:val="E3781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263"/>
    <w:rsid w:val="00097783"/>
    <w:rsid w:val="00215A97"/>
    <w:rsid w:val="002C4815"/>
    <w:rsid w:val="002E7957"/>
    <w:rsid w:val="002F3FD6"/>
    <w:rsid w:val="003B6842"/>
    <w:rsid w:val="003E7BCC"/>
    <w:rsid w:val="00467D23"/>
    <w:rsid w:val="00484BEB"/>
    <w:rsid w:val="00510E48"/>
    <w:rsid w:val="006E7DAB"/>
    <w:rsid w:val="00757263"/>
    <w:rsid w:val="008A28FA"/>
    <w:rsid w:val="00D1095D"/>
    <w:rsid w:val="00D53129"/>
    <w:rsid w:val="00ED3D5E"/>
    <w:rsid w:val="00F92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57263"/>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757263"/>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757263"/>
    <w:rPr>
      <w:vertAlign w:val="superscript"/>
    </w:rPr>
  </w:style>
  <w:style w:type="character" w:styleId="Hyperlink">
    <w:name w:val="Hyperlink"/>
    <w:basedOn w:val="DefaultParagraphFont"/>
    <w:uiPriority w:val="99"/>
    <w:unhideWhenUsed/>
    <w:rsid w:val="00757263"/>
    <w:rPr>
      <w:color w:val="0000FF" w:themeColor="hyperlink"/>
      <w:u w:val="single"/>
    </w:rPr>
  </w:style>
  <w:style w:type="paragraph" w:customStyle="1" w:styleId="Default">
    <w:name w:val="Default"/>
    <w:rsid w:val="00484BEB"/>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styleId="BalloonText">
    <w:name w:val="Balloon Text"/>
    <w:basedOn w:val="Normal"/>
    <w:link w:val="BalloonTextChar"/>
    <w:uiPriority w:val="99"/>
    <w:semiHidden/>
    <w:unhideWhenUsed/>
    <w:rsid w:val="00D109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95D"/>
    <w:rPr>
      <w:rFonts w:ascii="Tahoma" w:hAnsi="Tahoma" w:cs="Tahoma"/>
      <w:sz w:val="16"/>
      <w:szCs w:val="16"/>
    </w:rPr>
  </w:style>
  <w:style w:type="character" w:styleId="FollowedHyperlink">
    <w:name w:val="FollowedHyperlink"/>
    <w:basedOn w:val="DefaultParagraphFont"/>
    <w:uiPriority w:val="99"/>
    <w:semiHidden/>
    <w:unhideWhenUsed/>
    <w:rsid w:val="00215A9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57263"/>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757263"/>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757263"/>
    <w:rPr>
      <w:vertAlign w:val="superscript"/>
    </w:rPr>
  </w:style>
  <w:style w:type="character" w:styleId="Hyperlink">
    <w:name w:val="Hyperlink"/>
    <w:basedOn w:val="DefaultParagraphFont"/>
    <w:uiPriority w:val="99"/>
    <w:unhideWhenUsed/>
    <w:rsid w:val="00757263"/>
    <w:rPr>
      <w:color w:val="0000FF" w:themeColor="hyperlink"/>
      <w:u w:val="single"/>
    </w:rPr>
  </w:style>
  <w:style w:type="paragraph" w:customStyle="1" w:styleId="Default">
    <w:name w:val="Default"/>
    <w:rsid w:val="00484BEB"/>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styleId="BalloonText">
    <w:name w:val="Balloon Text"/>
    <w:basedOn w:val="Normal"/>
    <w:link w:val="BalloonTextChar"/>
    <w:uiPriority w:val="99"/>
    <w:semiHidden/>
    <w:unhideWhenUsed/>
    <w:rsid w:val="00D109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95D"/>
    <w:rPr>
      <w:rFonts w:ascii="Tahoma" w:hAnsi="Tahoma" w:cs="Tahoma"/>
      <w:sz w:val="16"/>
      <w:szCs w:val="16"/>
    </w:rPr>
  </w:style>
  <w:style w:type="character" w:styleId="FollowedHyperlink">
    <w:name w:val="FollowedHyperlink"/>
    <w:basedOn w:val="DefaultParagraphFont"/>
    <w:uiPriority w:val="99"/>
    <w:semiHidden/>
    <w:unhideWhenUsed/>
    <w:rsid w:val="00215A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1999/27/section/3"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10.%20Equalities%20Duty.docx" TargetMode="External"/><Relationship Id="rId4" Type="http://schemas.openxmlformats.org/officeDocument/2006/relationships/settings" Target="settings.xml"/><Relationship Id="rId9" Type="http://schemas.openxmlformats.org/officeDocument/2006/relationships/hyperlink" Target="https://www.gov.uk/government/uploads/system/uploads/attachment_data/file/5945/197692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Rosie.Evangelou</dc:creator>
  <cp:lastModifiedBy>Rosie.Evangelou</cp:lastModifiedBy>
  <cp:revision>2</cp:revision>
  <dcterms:created xsi:type="dcterms:W3CDTF">2016-03-02T11:44:00Z</dcterms:created>
  <dcterms:modified xsi:type="dcterms:W3CDTF">2016-03-02T11:44:00Z</dcterms:modified>
</cp:coreProperties>
</file>